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</w:rPr>
        <w:t>头颈线圈</w:t>
      </w:r>
      <w:r>
        <w:rPr>
          <w:rFonts w:hint="eastAsia"/>
          <w:lang w:eastAsia="zh-CN"/>
        </w:rPr>
        <w:t>技术参数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1、具备 20 个线圈通道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2、具备20个一体化前置放大器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3、具备双频传输技术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4、上半部分可以移除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5、下半部分可以单独完成头部检查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6、使用 DirectConnect技木，没有线缆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7、无需线圈调谐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8、兼容 GRAPPA 并行采集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9、具备可拆卸反光镜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263B3550"/>
    <w:rsid w:val="263B3550"/>
    <w:rsid w:val="397A2945"/>
    <w:rsid w:val="43AA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142</Characters>
  <Lines>0</Lines>
  <Paragraphs>0</Paragraphs>
  <TotalTime>3</TotalTime>
  <ScaleCrop>false</ScaleCrop>
  <LinksUpToDate>false</LinksUpToDate>
  <CharactersWithSpaces>147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2023-04-04T03:44:00Z</dcterms:created>
  <dc:creator>喵星人</dc:creator>
  <cp:lastModifiedBy>Administrator</cp:lastModifiedBy>
  <cp:lastPrinted>2023-04-04T03:50:00Z</cp:lastPrinted>
  <dcterms:modified xsi:type="dcterms:W3CDTF">2023-05-30T02:49:16Z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CA380D8F46E84503BC4C66B609B38C0A_11</vt:lpwstr>
  </property>
</Properties>
</file>