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center"/>
        <w:outlineLvl w:val="0"/>
        <w:rPr>
          <w:rFonts w:hint="default" w:ascii="宋体" w:hAnsi="宋体" w:eastAsia="宋体"/>
          <w:b/>
          <w:bCs/>
          <w:kern w:val="0"/>
          <w:sz w:val="36"/>
          <w:szCs w:val="36"/>
          <w:lang w:val="en-US" w:eastAsia="zh-CN"/>
        </w:rPr>
      </w:pPr>
      <w:r>
        <w:rPr>
          <w:rFonts w:hint="eastAsia" w:ascii="宋体" w:hAnsi="宋体"/>
          <w:b/>
          <w:bCs/>
          <w:kern w:val="0"/>
          <w:sz w:val="36"/>
          <w:szCs w:val="36"/>
        </w:rPr>
        <w:t>青海红十字医院</w:t>
      </w:r>
      <w:r>
        <w:rPr>
          <w:rFonts w:hint="eastAsia" w:ascii="宋体" w:hAnsi="宋体"/>
          <w:b/>
          <w:bCs/>
          <w:kern w:val="0"/>
          <w:sz w:val="36"/>
          <w:szCs w:val="36"/>
          <w:lang w:val="en-US" w:eastAsia="zh-CN"/>
        </w:rPr>
        <w:t>护理培训信息系统</w:t>
      </w:r>
    </w:p>
    <w:p>
      <w:pPr>
        <w:widowControl/>
        <w:spacing w:line="240" w:lineRule="auto"/>
        <w:ind w:firstLine="0" w:firstLineChars="0"/>
        <w:jc w:val="center"/>
        <w:outlineLvl w:val="0"/>
        <w:rPr>
          <w:rFonts w:ascii="宋体" w:hAnsi="宋体"/>
          <w:b/>
          <w:bCs/>
          <w:kern w:val="0"/>
          <w:sz w:val="36"/>
          <w:szCs w:val="36"/>
        </w:rPr>
      </w:pPr>
      <w:r>
        <w:rPr>
          <w:rFonts w:hint="eastAsia" w:ascii="宋体" w:hAnsi="宋体" w:cs="宋体"/>
          <w:b/>
          <w:kern w:val="0"/>
          <w:sz w:val="36"/>
          <w:szCs w:val="21"/>
        </w:rPr>
        <w:t>采购</w:t>
      </w:r>
      <w:r>
        <w:rPr>
          <w:rFonts w:hint="eastAsia" w:ascii="宋体" w:hAnsi="宋体"/>
          <w:b/>
          <w:bCs/>
          <w:kern w:val="0"/>
          <w:sz w:val="36"/>
          <w:szCs w:val="36"/>
        </w:rPr>
        <w:t>一览表及技术参数</w:t>
      </w:r>
    </w:p>
    <w:p>
      <w:pPr>
        <w:widowControl/>
        <w:spacing w:line="240" w:lineRule="auto"/>
        <w:ind w:firstLine="0" w:firstLineChars="0"/>
        <w:jc w:val="center"/>
        <w:rPr>
          <w:rFonts w:ascii="宋体" w:hAnsi="宋体"/>
          <w:b/>
          <w:bCs/>
          <w:kern w:val="0"/>
          <w:sz w:val="36"/>
          <w:szCs w:val="36"/>
        </w:rPr>
      </w:pPr>
    </w:p>
    <w:p>
      <w:pPr>
        <w:pStyle w:val="7"/>
        <w:outlineLvl w:val="0"/>
      </w:pPr>
      <w:r>
        <w:rPr>
          <w:rFonts w:hint="eastAsia"/>
        </w:rPr>
        <w:t>项目概况</w:t>
      </w:r>
    </w:p>
    <w:p>
      <w:pPr>
        <w:spacing w:line="400" w:lineRule="atLeast"/>
        <w:ind w:firstLine="480"/>
        <w:rPr>
          <w:rFonts w:asciiTheme="minorEastAsia" w:hAnsiTheme="minorEastAsia" w:eastAsiaTheme="minorEastAsia" w:cstheme="minorEastAsia"/>
          <w:color w:val="000000"/>
        </w:rPr>
      </w:pPr>
      <w:r>
        <w:rPr>
          <w:rFonts w:hint="eastAsia" w:asciiTheme="minorEastAsia" w:hAnsiTheme="minorEastAsia" w:eastAsiaTheme="minorEastAsia" w:cstheme="minorEastAsia"/>
        </w:rPr>
        <w:t>1.1.1项目名称：</w:t>
      </w:r>
      <w:r>
        <w:rPr>
          <w:rFonts w:hint="eastAsia" w:asciiTheme="minorEastAsia" w:hAnsiTheme="minorEastAsia" w:eastAsiaTheme="minorEastAsia" w:cstheme="minorEastAsia"/>
          <w:color w:val="000000"/>
          <w:spacing w:val="-2"/>
          <w:kern w:val="16"/>
        </w:rPr>
        <w:t>青海红十字医院</w:t>
      </w:r>
      <w:r>
        <w:rPr>
          <w:rFonts w:hint="eastAsia" w:asciiTheme="minorEastAsia" w:hAnsiTheme="minorEastAsia" w:eastAsiaTheme="minorEastAsia" w:cstheme="minorEastAsia"/>
          <w:color w:val="000000"/>
          <w:spacing w:val="-2"/>
          <w:kern w:val="16"/>
          <w:lang w:val="en-US" w:eastAsia="zh-CN"/>
        </w:rPr>
        <w:t>护理培训信息系统</w:t>
      </w:r>
      <w:r>
        <w:rPr>
          <w:rFonts w:hint="eastAsia" w:asciiTheme="minorEastAsia" w:hAnsiTheme="minorEastAsia" w:eastAsiaTheme="minorEastAsia" w:cstheme="minorEastAsia"/>
          <w:color w:val="000000"/>
          <w:spacing w:val="-2"/>
          <w:kern w:val="16"/>
        </w:rPr>
        <w:t>项目</w:t>
      </w:r>
    </w:p>
    <w:p>
      <w:pPr>
        <w:spacing w:line="400" w:lineRule="atLeast"/>
        <w:ind w:firstLine="480"/>
        <w:rPr>
          <w:rFonts w:ascii="宋体" w:hAnsi="宋体" w:cs="宋体"/>
        </w:rPr>
      </w:pPr>
      <w:r>
        <w:rPr>
          <w:rFonts w:hint="eastAsia" w:asciiTheme="minorEastAsia" w:hAnsiTheme="minorEastAsia" w:eastAsiaTheme="minorEastAsia" w:cstheme="minorEastAsia"/>
        </w:rPr>
        <w:t>1.1.2采购预算：</w:t>
      </w:r>
      <w:r>
        <w:rPr>
          <w:rStyle w:val="17"/>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万元</w:t>
      </w:r>
    </w:p>
    <w:p>
      <w:pPr>
        <w:spacing w:line="400" w:lineRule="atLeast"/>
        <w:ind w:firstLine="480"/>
        <w:rPr>
          <w:rFonts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服务地点：青海红十字医院（西宁市南大街55号）</w:t>
      </w:r>
    </w:p>
    <w:p>
      <w:pPr>
        <w:pStyle w:val="7"/>
        <w:outlineLvl w:val="0"/>
        <w:rPr>
          <w:rFonts w:hint="eastAsia"/>
        </w:rPr>
      </w:pPr>
      <w:r>
        <w:rPr>
          <w:rFonts w:hint="eastAsia"/>
        </w:rPr>
        <w:t>建设内容</w:t>
      </w:r>
    </w:p>
    <w:p>
      <w:pPr>
        <w:numPr>
          <w:ilvl w:val="255"/>
          <w:numId w:val="0"/>
        </w:numPr>
        <w:spacing w:line="360" w:lineRule="auto"/>
        <w:ind w:firstLine="480" w:firstLineChars="200"/>
        <w:rPr>
          <w:rFonts w:hint="default" w:ascii="宋体" w:hAnsi="宋体" w:eastAsia="宋体"/>
          <w:sz w:val="24"/>
          <w:lang w:val="en-US" w:eastAsia="zh-CN"/>
        </w:rPr>
      </w:pPr>
      <w:r>
        <w:rPr>
          <w:rFonts w:ascii="宋体" w:hAnsi="宋体"/>
          <w:sz w:val="24"/>
        </w:rPr>
        <w:t>本次招标内容包括</w:t>
      </w:r>
      <w:r>
        <w:rPr>
          <w:rFonts w:hint="eastAsia" w:ascii="宋体" w:hAnsi="宋体"/>
          <w:sz w:val="24"/>
        </w:rPr>
        <w:t>系统软件</w:t>
      </w:r>
      <w:r>
        <w:rPr>
          <w:rFonts w:ascii="宋体" w:hAnsi="宋体"/>
          <w:sz w:val="24"/>
        </w:rPr>
        <w:t>的安装调试、开发、技术支持、运行维护、项目验收、培训及售后服务等</w:t>
      </w:r>
      <w:r>
        <w:rPr>
          <w:rFonts w:hint="eastAsia" w:ascii="宋体" w:hAnsi="宋体"/>
          <w:sz w:val="24"/>
          <w:lang w:eastAsia="zh-CN"/>
        </w:rPr>
        <w:t>，</w:t>
      </w:r>
      <w:r>
        <w:rPr>
          <w:rFonts w:hint="eastAsia" w:ascii="宋体" w:hAnsi="宋体"/>
          <w:sz w:val="24"/>
          <w:lang w:val="en-US" w:eastAsia="zh-CN"/>
        </w:rPr>
        <w:t>并与我院现有护理管理系统完成对接。</w:t>
      </w:r>
      <w:r>
        <w:rPr>
          <w:rFonts w:hint="eastAsia" w:ascii="宋体" w:hAnsi="宋体" w:eastAsia="宋体" w:cs="宋体"/>
          <w:sz w:val="24"/>
          <w:lang w:val="en-US" w:eastAsia="zh-CN"/>
        </w:rPr>
        <w:t>投标方必须具备完成该项目的经营范围及技术能力</w:t>
      </w:r>
      <w:r>
        <w:rPr>
          <w:rFonts w:hint="eastAsia" w:ascii="宋体" w:hAnsi="宋体" w:cs="宋体"/>
          <w:sz w:val="24"/>
          <w:lang w:val="en-US" w:eastAsia="zh-CN"/>
        </w:rPr>
        <w:t>。</w:t>
      </w: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3557"/>
        <w:gridCol w:w="1134"/>
        <w:gridCol w:w="2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序号</w:t>
            </w:r>
          </w:p>
        </w:tc>
        <w:tc>
          <w:tcPr>
            <w:tcW w:w="3557"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产品名称</w:t>
            </w:r>
          </w:p>
        </w:tc>
        <w:tc>
          <w:tcPr>
            <w:tcW w:w="1134"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数量</w:t>
            </w:r>
          </w:p>
        </w:tc>
        <w:tc>
          <w:tcPr>
            <w:tcW w:w="2997"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1</w:t>
            </w:r>
          </w:p>
        </w:tc>
        <w:tc>
          <w:tcPr>
            <w:tcW w:w="3557" w:type="dxa"/>
            <w:tcBorders>
              <w:top w:val="single" w:color="auto" w:sz="4" w:space="0"/>
              <w:left w:val="single" w:color="auto" w:sz="4" w:space="0"/>
              <w:bottom w:val="single" w:color="auto" w:sz="4" w:space="0"/>
              <w:right w:val="single" w:color="auto" w:sz="4" w:space="0"/>
            </w:tcBorders>
            <w:vAlign w:val="center"/>
          </w:tcPr>
          <w:p>
            <w:pPr>
              <w:pStyle w:val="19"/>
              <w:rPr>
                <w:rFonts w:ascii="宋体" w:hAnsi="宋体"/>
                <w:kern w:val="2"/>
                <w:szCs w:val="22"/>
              </w:rPr>
            </w:pPr>
            <w:r>
              <w:rPr>
                <w:rFonts w:hint="eastAsia" w:ascii="宋体" w:hAnsi="宋体"/>
                <w:kern w:val="2"/>
                <w:szCs w:val="22"/>
              </w:rPr>
              <w:t>护理培训</w:t>
            </w:r>
            <w:r>
              <w:rPr>
                <w:rFonts w:hint="eastAsia" w:ascii="宋体" w:hAnsi="宋体"/>
                <w:kern w:val="2"/>
                <w:szCs w:val="22"/>
                <w:lang w:eastAsia="zh-CN"/>
              </w:rPr>
              <w:t>信息</w:t>
            </w:r>
            <w:r>
              <w:rPr>
                <w:rFonts w:hint="eastAsia" w:ascii="宋体" w:hAnsi="宋体"/>
                <w:kern w:val="2"/>
                <w:szCs w:val="22"/>
              </w:rPr>
              <w:t>系统</w:t>
            </w:r>
          </w:p>
        </w:tc>
        <w:tc>
          <w:tcPr>
            <w:tcW w:w="1134" w:type="dxa"/>
            <w:tcBorders>
              <w:top w:val="single" w:color="auto" w:sz="4" w:space="0"/>
              <w:left w:val="single" w:color="auto" w:sz="4" w:space="0"/>
              <w:bottom w:val="single" w:color="auto" w:sz="4" w:space="0"/>
              <w:right w:val="single" w:color="auto" w:sz="4" w:space="0"/>
            </w:tcBorders>
            <w:vAlign w:val="center"/>
          </w:tcPr>
          <w:p>
            <w:pPr>
              <w:pStyle w:val="19"/>
              <w:jc w:val="center"/>
              <w:rPr>
                <w:rFonts w:ascii="宋体" w:hAnsi="宋体"/>
                <w:kern w:val="2"/>
                <w:szCs w:val="22"/>
              </w:rPr>
            </w:pPr>
            <w:r>
              <w:rPr>
                <w:rFonts w:hint="eastAsia" w:ascii="宋体" w:hAnsi="宋体"/>
                <w:kern w:val="2"/>
                <w:szCs w:val="22"/>
              </w:rPr>
              <w:t>1项</w:t>
            </w:r>
          </w:p>
        </w:tc>
        <w:tc>
          <w:tcPr>
            <w:tcW w:w="2997" w:type="dxa"/>
            <w:tcBorders>
              <w:top w:val="single" w:color="auto" w:sz="4" w:space="0"/>
              <w:left w:val="single" w:color="auto" w:sz="4" w:space="0"/>
              <w:bottom w:val="single" w:color="auto" w:sz="4" w:space="0"/>
              <w:right w:val="single" w:color="auto" w:sz="4" w:space="0"/>
            </w:tcBorders>
            <w:vAlign w:val="center"/>
          </w:tcPr>
          <w:p>
            <w:pPr>
              <w:pStyle w:val="19"/>
              <w:rPr>
                <w:rFonts w:ascii="宋体" w:hAnsi="宋体"/>
                <w:kern w:val="2"/>
                <w:szCs w:val="22"/>
              </w:rPr>
            </w:pPr>
            <w:r>
              <w:rPr>
                <w:rFonts w:hint="eastAsia" w:ascii="宋体" w:hAnsi="宋体"/>
                <w:kern w:val="2"/>
                <w:szCs w:val="22"/>
              </w:rPr>
              <w:t>合同签订之日起</w:t>
            </w:r>
            <w:r>
              <w:rPr>
                <w:rFonts w:hint="eastAsia" w:ascii="宋体" w:hAnsi="宋体"/>
                <w:kern w:val="2"/>
                <w:szCs w:val="22"/>
                <w:lang w:val="en-US" w:eastAsia="zh-CN"/>
              </w:rPr>
              <w:t>90天</w:t>
            </w:r>
            <w:r>
              <w:rPr>
                <w:rFonts w:hint="eastAsia" w:ascii="宋体" w:hAnsi="宋体"/>
                <w:kern w:val="2"/>
                <w:szCs w:val="22"/>
              </w:rPr>
              <w:t>内到货、安装、调试完毕</w:t>
            </w:r>
          </w:p>
        </w:tc>
      </w:tr>
    </w:tbl>
    <w:p>
      <w:pPr>
        <w:rPr>
          <w:rFonts w:ascii="宋体" w:hAnsi="宋体"/>
        </w:rPr>
      </w:pPr>
    </w:p>
    <w:p>
      <w:pPr>
        <w:pStyle w:val="7"/>
        <w:outlineLvl w:val="0"/>
        <w:rPr>
          <w:rFonts w:hint="eastAsia"/>
        </w:rPr>
      </w:pPr>
      <w:r>
        <w:rPr>
          <w:rFonts w:hint="eastAsia"/>
        </w:rPr>
        <w:t>技术规格和配置要求</w:t>
      </w:r>
    </w:p>
    <w:p>
      <w:pPr>
        <w:pStyle w:val="8"/>
        <w:bidi w:val="0"/>
        <w:outlineLvl w:val="1"/>
      </w:pPr>
      <w:r>
        <w:t>系统</w:t>
      </w:r>
      <w:r>
        <w:rPr>
          <w:rFonts w:hint="eastAsia"/>
        </w:rPr>
        <w:t>设计</w:t>
      </w:r>
      <w:r>
        <w:t>要求</w:t>
      </w:r>
    </w:p>
    <w:p>
      <w:pPr>
        <w:spacing w:line="360" w:lineRule="auto"/>
        <w:ind w:firstLine="480" w:firstLineChars="200"/>
        <w:outlineLvl w:val="2"/>
        <w:rPr>
          <w:rFonts w:ascii="宋体" w:hAnsi="宋体"/>
          <w:sz w:val="24"/>
        </w:rPr>
      </w:pPr>
      <w:r>
        <w:rPr>
          <w:rFonts w:hint="eastAsia" w:ascii="宋体" w:hAnsi="宋体"/>
          <w:sz w:val="24"/>
        </w:rPr>
        <w:t>1）先进性</w:t>
      </w:r>
    </w:p>
    <w:p>
      <w:pPr>
        <w:spacing w:line="360" w:lineRule="auto"/>
        <w:ind w:firstLine="480" w:firstLineChars="200"/>
        <w:rPr>
          <w:rFonts w:ascii="宋体" w:hAnsi="宋体"/>
          <w:sz w:val="24"/>
        </w:rPr>
      </w:pPr>
      <w:r>
        <w:rPr>
          <w:rFonts w:hint="eastAsia" w:ascii="宋体" w:hAnsi="宋体"/>
          <w:sz w:val="24"/>
        </w:rPr>
        <w:t>采用先进的基于构件/构架的设计思想和开发方法，支持大用户量并发访问，包括大并发下的缓存技术，页面异步数据交换，支持htm5等新的互联网技术。</w:t>
      </w:r>
    </w:p>
    <w:p>
      <w:pPr>
        <w:spacing w:line="360" w:lineRule="auto"/>
        <w:ind w:firstLine="480" w:firstLineChars="200"/>
        <w:outlineLvl w:val="2"/>
        <w:rPr>
          <w:rFonts w:ascii="宋体" w:hAnsi="宋体"/>
          <w:sz w:val="24"/>
        </w:rPr>
      </w:pPr>
      <w:r>
        <w:rPr>
          <w:rFonts w:hint="eastAsia" w:ascii="宋体" w:hAnsi="宋体"/>
          <w:sz w:val="24"/>
        </w:rPr>
        <w:t>2）安全性</w:t>
      </w:r>
    </w:p>
    <w:p>
      <w:pPr>
        <w:spacing w:line="360" w:lineRule="auto"/>
        <w:ind w:firstLine="480" w:firstLineChars="200"/>
        <w:rPr>
          <w:rFonts w:ascii="宋体" w:hAnsi="宋体"/>
          <w:sz w:val="24"/>
        </w:rPr>
      </w:pPr>
      <w:r>
        <w:rPr>
          <w:rFonts w:hint="eastAsia" w:ascii="宋体" w:hAnsi="宋体"/>
          <w:sz w:val="24"/>
        </w:rPr>
        <w:t>系统采用分级管理模式，对不同级别用户的操作权限和数据访问范围有严格的限制，系统管理员可以根据情况灵活设置安全策略。系统级安全：定期备份、应急（支持脱机程序及相应的应急预案、支持智能客户端）及恢复、灾备解决方案。</w:t>
      </w:r>
    </w:p>
    <w:p>
      <w:pPr>
        <w:spacing w:line="360" w:lineRule="auto"/>
        <w:ind w:firstLine="480" w:firstLineChars="200"/>
        <w:outlineLvl w:val="2"/>
        <w:rPr>
          <w:rFonts w:ascii="宋体" w:hAnsi="宋体"/>
          <w:sz w:val="24"/>
        </w:rPr>
      </w:pPr>
      <w:r>
        <w:rPr>
          <w:rFonts w:hint="eastAsia" w:ascii="宋体" w:hAnsi="宋体"/>
          <w:sz w:val="24"/>
        </w:rPr>
        <w:t>3）兼容性</w:t>
      </w:r>
    </w:p>
    <w:p>
      <w:pPr>
        <w:spacing w:line="360" w:lineRule="auto"/>
        <w:ind w:firstLine="480" w:firstLineChars="200"/>
        <w:rPr>
          <w:rFonts w:ascii="宋体" w:hAnsi="宋体"/>
          <w:sz w:val="24"/>
        </w:rPr>
      </w:pPr>
      <w:r>
        <w:rPr>
          <w:rFonts w:hint="eastAsia" w:ascii="宋体" w:hAnsi="宋体"/>
          <w:sz w:val="24"/>
        </w:rPr>
        <w:t>技术上按照国际标准，同时符合国家标准，支持多种主流浏览器访问，自适应移动设备在线浏览，实现良好的跨平台能力，便于与不同系统间的数据交互。</w:t>
      </w:r>
    </w:p>
    <w:p>
      <w:pPr>
        <w:spacing w:line="360" w:lineRule="auto"/>
        <w:ind w:firstLine="480" w:firstLineChars="200"/>
        <w:outlineLvl w:val="2"/>
        <w:rPr>
          <w:rFonts w:ascii="宋体" w:hAnsi="宋体"/>
          <w:sz w:val="24"/>
        </w:rPr>
      </w:pPr>
      <w:r>
        <w:rPr>
          <w:rFonts w:hint="eastAsia" w:ascii="宋体" w:hAnsi="宋体"/>
          <w:sz w:val="24"/>
        </w:rPr>
        <w:t>4）开发技术</w:t>
      </w:r>
    </w:p>
    <w:p>
      <w:pPr>
        <w:spacing w:line="360" w:lineRule="auto"/>
        <w:ind w:firstLine="480" w:firstLineChars="200"/>
        <w:rPr>
          <w:rFonts w:ascii="宋体" w:hAnsi="宋体"/>
          <w:sz w:val="24"/>
        </w:rPr>
      </w:pPr>
      <w:r>
        <w:rPr>
          <w:rFonts w:hint="eastAsia" w:ascii="宋体" w:hAnsi="宋体"/>
          <w:sz w:val="24"/>
        </w:rPr>
        <w:t>系统采用B/S、C/S或C/M/S架构，数据库支持Oracle、SQL Server等大型数据库，支持主流的应用服务器、集群及负载等。</w:t>
      </w:r>
    </w:p>
    <w:p>
      <w:pPr>
        <w:spacing w:line="360" w:lineRule="auto"/>
        <w:ind w:firstLine="480" w:firstLineChars="200"/>
        <w:outlineLvl w:val="2"/>
        <w:rPr>
          <w:rFonts w:ascii="宋体" w:hAnsi="宋体"/>
          <w:sz w:val="24"/>
        </w:rPr>
      </w:pPr>
      <w:r>
        <w:rPr>
          <w:rFonts w:hint="eastAsia" w:ascii="宋体" w:hAnsi="宋体"/>
          <w:sz w:val="24"/>
        </w:rPr>
        <w:t>5）可扩展性</w:t>
      </w:r>
    </w:p>
    <w:p>
      <w:pPr>
        <w:spacing w:line="360" w:lineRule="auto"/>
        <w:ind w:firstLine="480" w:firstLineChars="200"/>
        <w:rPr>
          <w:rFonts w:ascii="宋体" w:hAnsi="宋体"/>
          <w:sz w:val="24"/>
        </w:rPr>
      </w:pPr>
      <w:r>
        <w:rPr>
          <w:rFonts w:hint="eastAsia" w:ascii="宋体" w:hAnsi="宋体"/>
          <w:sz w:val="24"/>
        </w:rPr>
        <w:t>采用模块化的设计框架，模块之间相对独立又可相互关联。在已有功能基础上添加新模块或新功能，</w:t>
      </w:r>
      <w:r>
        <w:rPr>
          <w:rFonts w:hint="eastAsia" w:ascii="宋体" w:hAnsi="宋体"/>
          <w:sz w:val="24"/>
          <w:lang w:val="en-US" w:eastAsia="zh-CN"/>
        </w:rPr>
        <w:t>要</w:t>
      </w:r>
      <w:r>
        <w:rPr>
          <w:rFonts w:hint="eastAsia" w:ascii="宋体" w:hAnsi="宋体"/>
          <w:sz w:val="24"/>
        </w:rPr>
        <w:t>非常方便。而且系统采用对象化设计理念，程序接口和数据接口都要清晰，便于二次开发。</w:t>
      </w:r>
    </w:p>
    <w:p>
      <w:pPr>
        <w:spacing w:line="360" w:lineRule="auto"/>
        <w:ind w:firstLine="480" w:firstLineChars="200"/>
        <w:outlineLvl w:val="2"/>
        <w:rPr>
          <w:rFonts w:ascii="宋体" w:hAnsi="宋体"/>
          <w:sz w:val="24"/>
        </w:rPr>
      </w:pPr>
      <w:r>
        <w:rPr>
          <w:rFonts w:hint="eastAsia" w:ascii="宋体" w:hAnsi="宋体"/>
          <w:sz w:val="24"/>
        </w:rPr>
        <w:t>6）易维护性</w:t>
      </w:r>
    </w:p>
    <w:p>
      <w:pPr>
        <w:spacing w:line="360" w:lineRule="auto"/>
        <w:ind w:firstLine="480" w:firstLineChars="200"/>
        <w:rPr>
          <w:rFonts w:ascii="宋体" w:hAnsi="宋体"/>
          <w:sz w:val="24"/>
        </w:rPr>
      </w:pPr>
      <w:r>
        <w:rPr>
          <w:rFonts w:hint="eastAsia" w:ascii="宋体" w:hAnsi="宋体"/>
          <w:sz w:val="24"/>
        </w:rPr>
        <w:t>采用代码维护、公式调整、参数配置等手段，确保管理员可自</w:t>
      </w:r>
      <w:r>
        <w:rPr>
          <w:rFonts w:hint="eastAsia" w:ascii="宋体" w:hAnsi="宋体"/>
          <w:sz w:val="24"/>
          <w:lang w:val="en-US" w:eastAsia="zh-CN"/>
        </w:rPr>
        <w:t>行</w:t>
      </w:r>
      <w:r>
        <w:rPr>
          <w:rFonts w:hint="eastAsia" w:ascii="宋体" w:hAnsi="宋体"/>
          <w:sz w:val="24"/>
        </w:rPr>
        <w:t>维护系统基础设置数据项。系统升级和日常维护只需要在服务器进行即可。系统为管理员有系统设置和维护功能，包括用户和权限设置、字段维护、代码表维护、日志监控、数据批量处理、远程备份、数据同步等等。系统维护期满后，采购人有权要求投标人提供应用系统相关技术文档。开放数据库规格描述。</w:t>
      </w:r>
    </w:p>
    <w:p>
      <w:pPr>
        <w:spacing w:line="360" w:lineRule="auto"/>
        <w:ind w:firstLine="480" w:firstLineChars="200"/>
        <w:outlineLvl w:val="2"/>
        <w:rPr>
          <w:rFonts w:ascii="宋体" w:hAnsi="宋体"/>
          <w:sz w:val="24"/>
        </w:rPr>
      </w:pPr>
      <w:r>
        <w:rPr>
          <w:rFonts w:hint="eastAsia" w:ascii="宋体" w:hAnsi="宋体"/>
          <w:sz w:val="24"/>
        </w:rPr>
        <w:t>7）可操作性</w:t>
      </w:r>
    </w:p>
    <w:p>
      <w:pPr>
        <w:spacing w:line="360" w:lineRule="auto"/>
        <w:ind w:firstLine="480" w:firstLineChars="200"/>
        <w:rPr>
          <w:rFonts w:ascii="宋体" w:hAnsi="宋体"/>
          <w:sz w:val="24"/>
        </w:rPr>
      </w:pPr>
      <w:r>
        <w:rPr>
          <w:rFonts w:hint="eastAsia" w:ascii="宋体" w:hAnsi="宋体"/>
          <w:sz w:val="24"/>
        </w:rPr>
        <w:t>设计方案符合业务流程，不是停留理论框架，而是切实可行。</w:t>
      </w:r>
    </w:p>
    <w:p>
      <w:pPr>
        <w:pStyle w:val="8"/>
        <w:bidi w:val="0"/>
        <w:outlineLvl w:val="1"/>
        <w:rPr>
          <w:rFonts w:hint="eastAsia"/>
        </w:rPr>
      </w:pPr>
      <w:r>
        <w:rPr>
          <w:rFonts w:hint="eastAsia"/>
        </w:rPr>
        <w:t>护理培训考试系统性能要求</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111"/>
        <w:gridCol w:w="1113"/>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67" w:type="pct"/>
            <w:shd w:val="clear" w:color="auto" w:fill="auto"/>
            <w:vAlign w:val="center"/>
          </w:tcPr>
          <w:p>
            <w:pPr>
              <w:widowControl/>
              <w:ind w:left="0" w:leftChars="0" w:firstLine="0" w:firstLineChars="0"/>
              <w:jc w:val="both"/>
              <w:rPr>
                <w:rFonts w:ascii="宋体" w:hAnsi="宋体" w:cs="宋体"/>
                <w:b/>
                <w:bCs/>
                <w:kern w:val="0"/>
                <w:szCs w:val="21"/>
              </w:rPr>
            </w:pPr>
            <w:r>
              <w:rPr>
                <w:rFonts w:hint="eastAsia" w:ascii="宋体" w:hAnsi="宋体" w:cs="宋体"/>
                <w:b/>
                <w:bCs/>
                <w:kern w:val="0"/>
                <w:szCs w:val="21"/>
              </w:rPr>
              <w:t>主模块</w:t>
            </w:r>
          </w:p>
        </w:tc>
        <w:tc>
          <w:tcPr>
            <w:tcW w:w="1305" w:type="pct"/>
            <w:gridSpan w:val="2"/>
            <w:shd w:val="clear" w:color="auto" w:fill="auto"/>
            <w:vAlign w:val="center"/>
          </w:tcPr>
          <w:p>
            <w:pPr>
              <w:widowControl/>
              <w:jc w:val="center"/>
              <w:rPr>
                <w:rFonts w:hint="eastAsia" w:ascii="宋体" w:hAnsi="宋体" w:cs="宋体"/>
                <w:b/>
                <w:bCs/>
                <w:kern w:val="0"/>
                <w:szCs w:val="21"/>
              </w:rPr>
            </w:pPr>
            <w:r>
              <w:rPr>
                <w:rFonts w:hint="eastAsia" w:ascii="宋体" w:hAnsi="宋体" w:cs="宋体"/>
                <w:b/>
                <w:bCs/>
                <w:kern w:val="0"/>
                <w:szCs w:val="21"/>
              </w:rPr>
              <w:t>子模块</w:t>
            </w:r>
          </w:p>
        </w:tc>
        <w:tc>
          <w:tcPr>
            <w:tcW w:w="3028" w:type="pct"/>
            <w:shd w:val="clear" w:color="auto" w:fill="auto"/>
            <w:vAlign w:val="center"/>
          </w:tcPr>
          <w:p>
            <w:pPr>
              <w:widowControl/>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登录</w:t>
            </w: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后台登入界面</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支持手机号登录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系统设置</w:t>
            </w: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科室与账号</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支持组织架构自定义维护组织架构，人员账号信息的自定义维护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管理员分配</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实现管理员按照院区、科室、病区进行设置，并支持跨院区、跨科室、跨病区管理，以便适应医院不同管理模式的需求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培训首页</w:t>
            </w: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待事项/概况统计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显示个人待办事项，统计培训、考试年度概况，查看近期发布记录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上传作业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支持视频、PPT、Word等形式文件上传。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APP公告栏</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支持设置APP公告banner图，支持添加图文和链接、排序；最多设置3张，支持轮播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消息发送</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具备自定义向学员发出通知提醒，并在APP中进行提醒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培训管理</w:t>
            </w: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课件库</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上传课件</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可上传培训课件至平台，包括文档、图片、视频等多种素材类型；支持视频文件在满足观看要求的前提下自动压缩，以便学员观看时更加流畅，并节省网络流量。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课件维护</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提供增、删、改、查功能，方便管理者及时更新维护课件内容。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课件权限设置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支持设置是否允许下载素材，设置之后即app支持缓存。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支持设置试题权限，默认公开全院分享，可私密仅对自己可见确保课件外传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文档观看时长设置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支持设置文档观看时长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课件分类设置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课件所属分类设置，支持二级分类新增、修改和删除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培训课程</w:t>
            </w: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培训课程管理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1.创建的课程作为模板自动保存到课程库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2.按照管理范围显示培训课程，支持在线查看、修改和删除、发布培训课程。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培训分类设置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培训课程所属分类设置，支持二级分类新增、修改和删除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在线培训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管理员可创建在线培训课程，学员只需通过手机即可进行学习课程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课程信息设置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1.支持设置培训名称、简介、培训讲师、培训分类等信息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2.支持添加培训课件、设置课前评估、随堂测验、课后作业等学习任务；严格按照学习任务控制学习顺序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培训讲师</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支持从本院添加或设置其他组织培训老师，支持设置讲师学分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课前评估</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课件学习前对学员进行课前评估，答题完成后进入课程学习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培训课件</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支持视频、ppt、word，可从本院培训课件库中选取或从本地添加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视频插题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支持在视频播放过程中插入试题，学员观看视频时会弹出试题答对之后才能继续观看，加强培训效果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随堂测验</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课件学习结束后对学员进行随堂小考，以便快速对学员的培训效果进行针对性检测，确保培训质量。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课后作业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课后作业布置，培训结束后学生需按要求上传作业给老师评分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分层培训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可面向院内不同科室、能级、职称、岗位、入院时间等各类用户发布课程，以便让培训更有针对性，实现分层培训。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授予培训学分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支持培训完成后，可自动授予学员对应的培训学分。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公开选修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课程可作为选修课公开，未指定的人员可通过选修课进行学习。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现场培训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管理员可创建现场培训课程，学员需至指定地点扫码参加培训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课程信息设置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1.支持设置培训名称、简介、培训讲师、培训分类等信息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2.支持添加培训课件、设置课前评估、随堂测验、课后作业等学习任务；，严格按照学习任务控制学习顺序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培训讲师</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支持从本院添加或设置其他组织培训老师，支持设置讲师学分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课前评估</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课件学习前对学员进行课前评估，答题完成后进入课程学习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培训课件</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支持视频、ppt、word，可从本院培训课件库中选取或从本地添加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视频插题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支持在视频播放过程中插入试题，学员观看视频时会弹出试题答对之后才能继续观看，加强培训效果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随堂测验</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课件学习结束后对学员进行随堂小考，以便快速对学员的培训效果进行针对性检测，确保培训质量。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课后作业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课后作业布置，培训结束后学生需按要求上传作业给老师评分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分层培训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可面向院内不同科室、能级、职称、岗位、入院时间等各类用户发布课程，以便让培训更有针对性，实现分层培训。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签到码设置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支持设置签到和签退，学员需扫码签到才能参加培训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培训学分设置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学员完成签到、签退后，可自动授予学员对应的培训学分。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已发布培训</w:t>
            </w: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已发布培训管理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按照管理范围显示已发布培训，查看培训结果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1.支持对未结束的培训增减参培人员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2.支持撤销未结束的培训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3.支持重新发布已经撤销的培训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二维码查看</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支持查看、打印二维码，提供学员扫码签到参加培训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培训详情</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1.按培训率、课前评估正确率、随堂测验一次合格率、随堂测验合格率进行统计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2.支持按照组织架构、学习进度、选修必修、测验结果查询培训结果，了解学习进度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学习详情</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支持查看学生的学习情况，包括课前评估、随堂测验、课后作业等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导出培训结果</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支持导出培训数据报表、测验答卷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数据报表可以按国家继教网格式导出，方便与国家继教网数据对接 ；或医院自定义选择字段导出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考试管理</w:t>
            </w: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试题库</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题库管理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支持医院录入试题，建立医院个性化私有题库；提供增删改查功能，以便及时更新维护题库。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关键词搜索</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支持通过关键词的形式对题目进行搜索，以便快速查找试题。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题型覆盖</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支持创建单选题、多选题、判断题、填空题、问答题、共用题干题等多种类型试题。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批量导入试题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支持按word格式，批量导入单选题、多选题、判断题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试题插图</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题干支持插入配图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自定义试题分类</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支持管理员自定义试题分类，并可分享至院内与各培训管理员共享分类，允许他们查看、使用分类中的试题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试题权限</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支持设置试题权限，默认公开全院分享，可私密仅对自己可见确保考试的保密性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正确率统计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按照历次考试的正确率统计每道试题的正确率。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模拟练习</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模拟练习卷</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按照管理范围显示模拟练习卷，支持按级别、科室筛选练习；支持在线查看、修改、删除和发布练习。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新建练习</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支持管理员指定练习范围，从本院试题库和公共题库中添加练习题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发布练习</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支持指定对象学习，设置练习时间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已发布练习</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按照管理范围显示已发布练习，查看练习详情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1.支持撤消已发布的练习卷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2.支持对未结束的模拟练习增减人员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练习结果统计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按应试率、正确率进行统计，利用大数据手段对考试整体情况按人员、试题错误率等进行综合分析，帮助管理者掌控问题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理论考试</w:t>
            </w: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试卷管理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1.创建的试卷作为模板自动保存到试卷库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2.按照管理范围显示试卷，支持在线查看、修改和删除、发布考试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创建试卷</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支持从题库中按照题型、能级、难易度、错题率等多种维度筛选试题，组建试卷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随机组卷</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支持按照题型、难易度、知识点等生成随机试卷，防止考场不端行为的发生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考试信息设置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可设置考试时间、考试时长、及格分数等，支持按照实际需求场景设置考前提醒、成绩公开方式、答案公开方式等信息，满足不同场景的管理需求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防作弊设置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管理员具备多种防作弊手段，包括设置试题乱序、选项乱序、页面离开次数监控等。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重考次数设置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管理员可设置是否允许考生重考及可重考次数。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成绩查看设置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管理员可设置是否允许学员查看考试成绩、对错及解析等。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二维码设置</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支持设置签到和签退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分层考试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可面向院内不同科室、能级、职称、岗位、年龄、工龄等维度筛选人员，并且支持按名单导入等方式确定考试人员，以便使考试更有针对性，实现分层考试。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已发布考试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按照管理范围显示已发布考试，查看考试结果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1.支持对未结束的考试增减参培人员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2.支持撤销未结束的考试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3.支持重新发布已经撤销的考试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二维码查看</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支持查看、打印二维码，提供学员扫码签到参加培训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自动批阅</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系统可以对选择题、判断题、填空题等进行自动批阅，对主观题，支持多人同时阅卷，减轻管理员负担。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考试结果统计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管理员可查看单场考试人员的考试结果，支持按应试率、合格率、平均分进行统计，按图表方式展现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成绩分布统计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可对考试结果按照要求（分数段、科室、能级、职称等维度）进行筛选查看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成绩等级评定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可设置不同分数段的考试结果，如优、良、中、差等自定义等级评定。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错题率统计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支持查看每道试题的错题详情，包括正确率、错误率、失分率、零分率、每个选项的选择比例等。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导出考试结果</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支持按护理管理系统格式导出报表，方便与护理管理系统数据对接 ；或医院自定义选择字段导出。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试卷一键导出存档</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支持考试试卷一键导出为pdf并打印，以便存档应对检查。打印格式经过专门优化，以节省纸张。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jc w:val="left"/>
              <w:rPr>
                <w:rFonts w:hint="eastAsia" w:ascii="宋体" w:hAnsi="宋体" w:cs="宋体"/>
                <w:kern w:val="0"/>
                <w:szCs w:val="21"/>
              </w:rPr>
            </w:pPr>
            <w:r>
              <w:rPr>
                <w:rFonts w:hint="eastAsia" w:ascii="宋体" w:hAnsi="宋体" w:cs="宋体"/>
                <w:kern w:val="0"/>
                <w:szCs w:val="21"/>
              </w:rPr>
              <w:t>操作考试</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新建评分表</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管理者可以将评分表录入系统，且系统提供常用评分表模板，支持复制使用。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评分表维护</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提供对评分表的增、删、改、查功能，方便管理员维护评分表库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创建操作考试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管理者可以添加评分表，设置考场信息、考试时长、考核老师等信息。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考试分批次预约</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对于线下操作考试，管理者可设置分批次进行，考生可分批次预约参加考试。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多人考核评分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支持设置多名考核老师，取多人评分的平均分作为考核成绩。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已发布考试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按照管理范围显示已发布考试，查看考试结果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1.支持对未结束的考试增减参培人员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2.支持撤销未结束的考试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vMerge w:val="continue"/>
            <w:shd w:val="clear" w:color="auto" w:fill="auto"/>
            <w:vAlign w:val="center"/>
          </w:tcPr>
          <w:p>
            <w:pPr>
              <w:widowControl/>
              <w:jc w:val="left"/>
              <w:rPr>
                <w:rFonts w:ascii="宋体" w:hAnsi="宋体" w:cs="宋体"/>
                <w:kern w:val="0"/>
                <w:szCs w:val="21"/>
              </w:rPr>
            </w:pP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3.支持重新发布已经撤销的考试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修改考生场次</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已报名的考生如有特殊情况，可联系管理者修改场次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操作评分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支持考核老师直接通过电脑或手机进行评分表打分。相关数据应自动汇总至后台系统，以便多端显示及应用。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考试详情</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按应试率、合格率、平均分进行统计，利用大数据手段对考试整体情况按病区、分数段、层级、试题正确率等多维度进行综合分析，帮助管理者掌控问题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导出考试结果</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操作考试评分表可以打印出来，以便存档应对检查。打印格式经过专门优化，以节省纸张。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分组培训</w:t>
            </w: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专科化培训</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新建小组</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支持医院自定义小组，设置小组管理员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添加成员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支持按科室筛选，按姓名、工号搜索添加小组成员，移除成员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发布培训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指定小组管理员负责小组培训，包括理论和技能培训。支持设置培训课程长期开放给小组成员学习，对小组外公开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发布考试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指定小组管理员负责小组考试，覆盖理论考试和操作考试，包括统一组卷和随机组卷；支持设置考前签到，考生查看成绩、重考次数、页面离开次数等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查看小组培训情况</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查看小组内已发布的培训内容，支持按培训类型、培训状态筛选培训；查看学员完成情况；支持撤消发布出去的培训；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人员统计</w:t>
            </w: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 xml:space="preserve">培训档案 </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人员列表</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统计学员获得的总学分、总学时和在线学习时长，支持按时间、培训分类筛选，导出表格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个人简历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查看学员个人简历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培训手册</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根据护士个人培训轨迹生成护士培训手册，支持按培训分类、级别统计学分和学时，查看培训明细。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培训学分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支持对本院培训讲师，培训结束后授予学分，必修人员参培合格后授予学分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培训app</w:t>
            </w: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待办事项</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显示学员本人要参加的培训/考试，支持按最新发布、最近学习切换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自动通知</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管理员发布的教学活动，支持以app消息自动通知学员。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必修</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必修计划</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学员需在指定时间范围内完成学习，可查看所有未完成的培训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在线培训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支持学员在线参加培训、学习课程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课前评估</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课程播放前对学员进行课前评估，答题完成后进入课程学习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课程学习</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系统自动记录学习进度，逗留时长，统计学时、学分授予，作为考核依据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视频弹题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视频播放中，弹出试题让学员回答，回答正确后可继续观看学习，确保培训质量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随堂测验</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培训结束后，支持进行随堂测试，检验培训效果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课后作业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根据导师布置的作业，离线完成上传，支持视频、PPT、Word等形式文件上传。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学习互动</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支持点赞、提问等互动功能，提高课程活跃度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 xml:space="preserve">学习笔记 </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学员可边学习边记录笔记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离线缓存</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wifi环境缓存视频，离线观看视频进行学习，学习完成后上传同步学习进度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必修记录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可查看历史已完成的培训，支持温故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选修</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选修计划</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根据学员的需求有需选择课程进行学习，可查看所有未完成的培训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现场培训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按照后台的设定，需进行扫码报名、签到、签退的操作，方能完成培训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扫码签到</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培训开始前，学员需扫码签到才能参加培训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扫码签退</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培训结束后，学员需扫码签退才算完成培训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选修记录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可查看所有未完成的培训，支持温故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考试计划</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可查看学员所有未参加的考试，提醒学员按时进入考试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现场扫码考试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支持学员通过手机扫码才能考试，以便确认本人在现场参加考试。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手机考试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考试过程中全程显示考生姓名、试题乱序、选项乱序、监控页面离开次数、到时自动交卷等。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查看成绩</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交卷后，系统可以自动对选择题、判断题、填空题等客观题型进行自动批阅，学员可立即查阅考试结果。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试题解析</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按照管理员发布时设置是否公布试题解析和分数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操作考试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学员可通过手机查看考试通知、评分表等信息，至指定地点参加考试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分场次预约</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对于多场次的操作考试，学员可以根据自己时间安排合理选择场次预约报名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考试记录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可查看学员已经完成的考试，包括考试分数、考试结果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考试报告</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系统能对选择题、判断题、填空题等客观题型进行自动批阅，减轻管理员批阅试卷的负担，学员可立即查阅考试结果：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模拟练习</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手机练习</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学员可查看相关的模拟练习，练习过程中直接判断对错。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加入错题集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支持错题加入错题集。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自测练习重做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支持学生在规定练习时间内重复练习。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分组培训</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学习计划</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学员可查看相关的小组，支持查看学习计划，支持在线学习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学习记录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查看历史完成的小组培训，支持温故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管理员可通过手机端查看已发布的培训，支持查看培训结果，了解学习进度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管理员可通过手机端查看已发布的考试，支持查看考试结果，了解考试进度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二维码查看</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支持查看二维码，提供学员扫码签到参加培训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手机操作评分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对于线下操作考试，支持考核老师直接通过手机进行评分表打分。相关数据应自动汇总至后台系统，以便多端显示及应用。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个人中心</w:t>
            </w: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个人信息</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支持学员在手机端对个人基础信息查看并修改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学分查询</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按照年度对系统获取学分情况进行查询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错题集</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支持考试过程中的错题自动添加入错题集，学员自主选择错误练习题添加到错题集，针对已掌握的错题，支持自定义移出错题集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1305" w:type="pct"/>
            <w:gridSpan w:val="2"/>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我的作业</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查看作业要求，已上传的作业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restar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消息通知</w:t>
            </w: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培训消息通知</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系统自动向学员在培训发布、培训即将开始等节点自动发送通知提醒到APP；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67" w:type="pct"/>
            <w:vMerge w:val="continue"/>
            <w:shd w:val="clear" w:color="auto" w:fill="auto"/>
            <w:vAlign w:val="center"/>
          </w:tcPr>
          <w:p>
            <w:pPr>
              <w:widowControl/>
              <w:jc w:val="left"/>
              <w:rPr>
                <w:rFonts w:ascii="宋体" w:hAnsi="宋体" w:cs="宋体"/>
                <w:kern w:val="0"/>
                <w:szCs w:val="21"/>
              </w:rPr>
            </w:pPr>
          </w:p>
        </w:tc>
        <w:tc>
          <w:tcPr>
            <w:tcW w:w="652" w:type="pct"/>
            <w:vMerge w:val="continue"/>
            <w:shd w:val="clear" w:color="auto" w:fill="auto"/>
            <w:vAlign w:val="center"/>
          </w:tcPr>
          <w:p>
            <w:pPr>
              <w:widowControl/>
              <w:jc w:val="left"/>
              <w:rPr>
                <w:rFonts w:ascii="宋体" w:hAnsi="宋体" w:cs="宋体"/>
                <w:kern w:val="0"/>
                <w:szCs w:val="21"/>
              </w:rPr>
            </w:pPr>
          </w:p>
        </w:tc>
        <w:tc>
          <w:tcPr>
            <w:tcW w:w="653"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考试消息通知</w:t>
            </w:r>
          </w:p>
        </w:tc>
        <w:tc>
          <w:tcPr>
            <w:tcW w:w="3028" w:type="pct"/>
            <w:shd w:val="clear" w:color="auto" w:fill="auto"/>
            <w:vAlign w:val="center"/>
          </w:tcPr>
          <w:p>
            <w:pPr>
              <w:widowControl/>
              <w:ind w:left="0" w:leftChars="0" w:firstLine="0" w:firstLineChars="0"/>
              <w:jc w:val="left"/>
              <w:rPr>
                <w:rFonts w:hint="eastAsia" w:ascii="宋体" w:hAnsi="宋体" w:cs="宋体"/>
                <w:kern w:val="0"/>
                <w:szCs w:val="21"/>
              </w:rPr>
            </w:pPr>
            <w:r>
              <w:rPr>
                <w:rFonts w:hint="eastAsia" w:ascii="宋体" w:hAnsi="宋体" w:cs="宋体"/>
                <w:kern w:val="0"/>
                <w:szCs w:val="21"/>
              </w:rPr>
              <w:t>系统自动向学员在考试发布、考试即将开始等节点自动发送通知提醒到APP；</w:t>
            </w:r>
          </w:p>
        </w:tc>
      </w:tr>
    </w:tbl>
    <w:p/>
    <w:p>
      <w:pPr>
        <w:pStyle w:val="7"/>
        <w:outlineLvl w:val="0"/>
        <w:rPr>
          <w:rFonts w:hint="eastAsia"/>
        </w:rPr>
      </w:pPr>
      <w:r>
        <w:rPr>
          <w:rFonts w:hint="eastAsia"/>
        </w:rPr>
        <w:t>系统、设备的安装、调试及上线</w:t>
      </w:r>
    </w:p>
    <w:p>
      <w:pPr>
        <w:spacing w:line="360" w:lineRule="auto"/>
        <w:ind w:firstLine="480"/>
        <w:rPr>
          <w:rFonts w:ascii="宋体" w:hAnsi="宋体"/>
          <w:sz w:val="24"/>
          <w:lang w:val="zh-CN"/>
        </w:rPr>
      </w:pPr>
      <w:r>
        <w:rPr>
          <w:rFonts w:ascii="宋体" w:hAnsi="宋体"/>
          <w:sz w:val="24"/>
          <w:lang w:val="zh-CN"/>
        </w:rPr>
        <w:t>1、中标人负责所供设备</w:t>
      </w:r>
      <w:r>
        <w:rPr>
          <w:rFonts w:hint="eastAsia" w:ascii="宋体" w:hAnsi="宋体"/>
          <w:sz w:val="24"/>
          <w:lang w:val="zh-CN"/>
        </w:rPr>
        <w:t>（若有）</w:t>
      </w:r>
      <w:r>
        <w:rPr>
          <w:rFonts w:ascii="宋体" w:hAnsi="宋体"/>
          <w:sz w:val="24"/>
          <w:lang w:val="zh-CN"/>
        </w:rPr>
        <w:t>、软件的安装、调试及上线，招标单位予以配合。</w:t>
      </w:r>
    </w:p>
    <w:p>
      <w:pPr>
        <w:spacing w:line="360" w:lineRule="auto"/>
        <w:ind w:firstLine="480"/>
        <w:rPr>
          <w:rFonts w:ascii="宋体" w:hAnsi="宋体"/>
          <w:sz w:val="24"/>
          <w:lang w:val="zh-CN"/>
        </w:rPr>
      </w:pPr>
      <w:r>
        <w:rPr>
          <w:rFonts w:ascii="宋体" w:hAnsi="宋体"/>
          <w:sz w:val="24"/>
          <w:lang w:val="zh-CN"/>
        </w:rPr>
        <w:t>2、设备</w:t>
      </w:r>
      <w:r>
        <w:rPr>
          <w:rFonts w:hint="eastAsia" w:ascii="宋体" w:hAnsi="宋体"/>
          <w:sz w:val="24"/>
          <w:lang w:val="zh-CN"/>
        </w:rPr>
        <w:t>（若有）</w:t>
      </w:r>
      <w:r>
        <w:rPr>
          <w:rFonts w:ascii="宋体" w:hAnsi="宋体"/>
          <w:sz w:val="24"/>
          <w:lang w:val="zh-CN"/>
        </w:rPr>
        <w:t>、软件的安装、调试所需的工具、仪表及安装材料等应由投标人自行解决。</w:t>
      </w:r>
    </w:p>
    <w:p>
      <w:pPr>
        <w:spacing w:line="360" w:lineRule="auto"/>
        <w:ind w:firstLine="480"/>
        <w:rPr>
          <w:rFonts w:ascii="宋体" w:hAnsi="宋体"/>
          <w:sz w:val="24"/>
          <w:lang w:val="zh-CN"/>
        </w:rPr>
      </w:pPr>
      <w:r>
        <w:rPr>
          <w:rFonts w:ascii="宋体" w:hAnsi="宋体"/>
          <w:sz w:val="24"/>
          <w:lang w:val="zh-CN"/>
        </w:rPr>
        <w:t>3、中标人在实施前提供详细的实施方案，并提交招标人认可。中标人应根据招标人的需要，在规定的时间内，保证质量，完成系统建设。实施过程中应科学、合理地掌握与其他工作界面的协调、交叉。</w:t>
      </w:r>
    </w:p>
    <w:p>
      <w:pPr>
        <w:spacing w:line="360" w:lineRule="auto"/>
        <w:ind w:firstLine="480"/>
        <w:rPr>
          <w:rFonts w:ascii="宋体" w:hAnsi="宋体"/>
          <w:sz w:val="24"/>
        </w:rPr>
      </w:pPr>
      <w:r>
        <w:rPr>
          <w:rFonts w:ascii="宋体" w:hAnsi="宋体"/>
          <w:sz w:val="24"/>
        </w:rPr>
        <w:t>4、实施工期：</w:t>
      </w:r>
      <w:r>
        <w:rPr>
          <w:rFonts w:hint="eastAsia" w:ascii="宋体" w:hAnsi="宋体"/>
          <w:sz w:val="24"/>
        </w:rPr>
        <w:t>自合同签订后</w:t>
      </w:r>
      <w:r>
        <w:rPr>
          <w:rFonts w:hint="eastAsia" w:ascii="宋体" w:hAnsi="宋体"/>
          <w:sz w:val="24"/>
          <w:lang w:val="en-US" w:eastAsia="zh-CN"/>
        </w:rPr>
        <w:t>90</w:t>
      </w:r>
      <w:r>
        <w:rPr>
          <w:rFonts w:hint="eastAsia" w:ascii="宋体" w:hAnsi="宋体"/>
          <w:sz w:val="24"/>
        </w:rPr>
        <w:t>天内完成安装并调试到位。</w:t>
      </w:r>
    </w:p>
    <w:p>
      <w:pPr>
        <w:spacing w:line="360" w:lineRule="auto"/>
        <w:ind w:firstLine="480"/>
        <w:rPr>
          <w:rFonts w:hint="eastAsia" w:asciiTheme="minorEastAsia" w:hAnsiTheme="minorEastAsia" w:eastAsiaTheme="minorEastAsia" w:cstheme="minorEastAsia"/>
        </w:rPr>
      </w:pPr>
      <w:r>
        <w:rPr>
          <w:rFonts w:ascii="宋体" w:hAnsi="宋体"/>
          <w:sz w:val="24"/>
        </w:rPr>
        <w:t>5、实施地点：</w:t>
      </w:r>
      <w:r>
        <w:rPr>
          <w:rFonts w:hint="eastAsia" w:asciiTheme="minorEastAsia" w:hAnsiTheme="minorEastAsia" w:eastAsiaTheme="minorEastAsia" w:cstheme="minorEastAsia"/>
        </w:rPr>
        <w:t>青海红十字医院（西宁市南大街55号）。</w:t>
      </w:r>
    </w:p>
    <w:p>
      <w:pPr>
        <w:pStyle w:val="7"/>
        <w:outlineLvl w:val="0"/>
        <w:rPr>
          <w:rFonts w:hint="eastAsia"/>
          <w:lang w:val="en-US" w:eastAsia="zh-CN"/>
        </w:rPr>
      </w:pPr>
      <w:r>
        <w:rPr>
          <w:rFonts w:hint="eastAsia"/>
          <w:lang w:val="en-US" w:eastAsia="zh-CN"/>
        </w:rPr>
        <w:t>履约验收方案</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1、时间：完成安装调试稳定运行30个自然日验收；</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2、地点：青海红十字医院（西宁市南大街55号）；</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3、验收方式：现场验收；</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4、主体：统计信息科、软件使用科室；</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5、验收内容及标准</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（1）验收内容：合同技术参数；</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（2）验收标准：确保软件正常稳定运行，符合合同技术参数所有条款；</w:t>
      </w:r>
    </w:p>
    <w:p>
      <w:pPr>
        <w:pStyle w:val="20"/>
        <w:spacing w:line="360" w:lineRule="auto"/>
        <w:ind w:firstLine="480"/>
        <w:outlineLvl w:val="1"/>
        <w:rPr>
          <w:rFonts w:hint="eastAsia" w:ascii="宋体" w:hAnsi="宋体" w:eastAsia="宋体" w:cs="Times New Roman"/>
          <w:sz w:val="24"/>
          <w:lang w:val="en-US" w:eastAsia="zh-CN"/>
        </w:rPr>
      </w:pPr>
      <w:r>
        <w:rPr>
          <w:rFonts w:hint="eastAsia" w:ascii="宋体" w:hAnsi="宋体" w:eastAsia="宋体" w:cs="Times New Roman"/>
          <w:sz w:val="24"/>
          <w:lang w:val="en-US" w:eastAsia="zh-CN"/>
        </w:rPr>
        <w:t>6、验收程序</w:t>
      </w:r>
    </w:p>
    <w:p>
      <w:pPr>
        <w:pStyle w:val="20"/>
        <w:spacing w:line="360" w:lineRule="auto"/>
        <w:ind w:firstLine="480"/>
        <w:outlineLvl w:val="2"/>
        <w:rPr>
          <w:rFonts w:hint="eastAsia" w:ascii="宋体" w:hAnsi="宋体" w:eastAsia="宋体" w:cs="Times New Roman"/>
          <w:sz w:val="24"/>
          <w:lang w:val="en-US" w:eastAsia="zh-CN"/>
        </w:rPr>
      </w:pPr>
      <w:r>
        <w:rPr>
          <w:rFonts w:hint="eastAsia" w:ascii="宋体" w:hAnsi="宋体" w:eastAsia="宋体" w:cs="Times New Roman"/>
          <w:sz w:val="24"/>
          <w:lang w:val="en-US" w:eastAsia="zh-CN"/>
        </w:rPr>
        <w:t>1）初验</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（1）申请：全院系统上线正常使用一个月后，甲乙双方签署上线报告10个工作日后乙方提出书面验收申请；</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（2）乙方提供材料：验收申请书、上线报告、实施记录、培训记录等；</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（3）信息科组织相关使用科室和乙方进行项目初步验收；</w:t>
      </w:r>
    </w:p>
    <w:p>
      <w:pPr>
        <w:pStyle w:val="20"/>
        <w:spacing w:line="360" w:lineRule="auto"/>
        <w:ind w:firstLine="480"/>
        <w:outlineLvl w:val="2"/>
        <w:rPr>
          <w:rFonts w:hint="eastAsia" w:ascii="宋体" w:hAnsi="宋体" w:eastAsia="宋体" w:cs="Times New Roman"/>
          <w:sz w:val="24"/>
          <w:lang w:val="en-US" w:eastAsia="zh-CN"/>
        </w:rPr>
      </w:pPr>
      <w:r>
        <w:rPr>
          <w:rFonts w:hint="eastAsia" w:ascii="宋体" w:hAnsi="宋体" w:eastAsia="宋体" w:cs="Times New Roman"/>
          <w:sz w:val="24"/>
          <w:lang w:val="en-US" w:eastAsia="zh-CN"/>
        </w:rPr>
        <w:t>2）终验</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（1）申请：初验合格后，系统稳定运行三个月，乙方根据项目招标合同、招标书、项目实施情况向甲方提出书面验收申请；</w:t>
      </w:r>
    </w:p>
    <w:p>
      <w:pPr>
        <w:pStyle w:val="20"/>
        <w:spacing w:line="360" w:lineRule="auto"/>
        <w:ind w:firstLine="480"/>
        <w:rPr>
          <w:rFonts w:hint="eastAsia" w:ascii="宋体" w:hAnsi="宋体" w:eastAsia="宋体" w:cs="Times New Roman"/>
          <w:sz w:val="24"/>
          <w:lang w:val="en-US" w:eastAsia="zh-CN"/>
        </w:rPr>
      </w:pPr>
      <w:r>
        <w:rPr>
          <w:rFonts w:hint="eastAsia" w:ascii="宋体" w:hAnsi="宋体" w:eastAsia="宋体" w:cs="Times New Roman"/>
          <w:sz w:val="24"/>
          <w:lang w:val="en-US" w:eastAsia="zh-CN"/>
        </w:rPr>
        <w:t>（2）乙方提供材料：验收申请书、完工报告、用户使用手册、技术文档、运维手册等；</w:t>
      </w:r>
    </w:p>
    <w:p>
      <w:pPr>
        <w:pStyle w:val="20"/>
        <w:spacing w:line="360" w:lineRule="auto"/>
        <w:ind w:firstLine="480"/>
        <w:rPr>
          <w:rFonts w:hint="eastAsia"/>
          <w:lang w:val="en-US" w:eastAsia="zh-CN"/>
        </w:rPr>
      </w:pPr>
      <w:r>
        <w:rPr>
          <w:rFonts w:hint="eastAsia" w:ascii="宋体" w:hAnsi="宋体" w:eastAsia="宋体" w:cs="Times New Roman"/>
          <w:sz w:val="24"/>
          <w:lang w:val="en-US" w:eastAsia="zh-CN"/>
        </w:rPr>
        <w:t>（3）经过审核材料齐全由信息科组织相关专家、使用部门、乙方进行最终验收</w:t>
      </w:r>
      <w:r>
        <w:rPr>
          <w:rFonts w:hint="eastAsia" w:ascii="宋体" w:hAnsi="宋体" w:cs="Times New Roman"/>
          <w:sz w:val="24"/>
          <w:lang w:val="en-US" w:eastAsia="zh-CN"/>
        </w:rPr>
        <w:t>。</w:t>
      </w:r>
    </w:p>
    <w:p>
      <w:pPr>
        <w:pStyle w:val="7"/>
        <w:outlineLvl w:val="0"/>
        <w:rPr>
          <w:rFonts w:hint="eastAsia"/>
        </w:rPr>
      </w:pPr>
      <w:bookmarkStart w:id="0" w:name="_GoBack"/>
      <w:bookmarkEnd w:id="0"/>
      <w:r>
        <w:rPr>
          <w:rFonts w:hint="eastAsia"/>
        </w:rPr>
        <w:t>售后服务及培训</w:t>
      </w:r>
    </w:p>
    <w:p>
      <w:pPr>
        <w:pStyle w:val="8"/>
        <w:bidi w:val="0"/>
        <w:outlineLvl w:val="1"/>
      </w:pPr>
      <w:r>
        <w:t>售后服务</w:t>
      </w:r>
    </w:p>
    <w:p>
      <w:pPr>
        <w:spacing w:line="360" w:lineRule="auto"/>
        <w:ind w:firstLine="480" w:firstLineChars="200"/>
        <w:rPr>
          <w:rFonts w:ascii="宋体" w:hAnsi="宋体"/>
          <w:sz w:val="24"/>
          <w:highlight w:val="yellow"/>
        </w:rPr>
      </w:pPr>
      <w:r>
        <w:rPr>
          <w:rFonts w:hint="eastAsia" w:ascii="宋体" w:hAnsi="宋体"/>
          <w:sz w:val="24"/>
        </w:rPr>
        <w:t>1、本次项目中涉及的系统软件及硬件设备须至少提供</w:t>
      </w:r>
      <w:r>
        <w:rPr>
          <w:rFonts w:hint="eastAsia" w:ascii="宋体" w:hAnsi="宋体"/>
          <w:sz w:val="24"/>
          <w:lang w:val="en-US" w:eastAsia="zh-CN"/>
        </w:rPr>
        <w:t>三年</w:t>
      </w:r>
      <w:r>
        <w:rPr>
          <w:rFonts w:hint="eastAsia" w:ascii="宋体" w:hAnsi="宋体"/>
          <w:sz w:val="24"/>
        </w:rPr>
        <w:t>质保服务。</w:t>
      </w:r>
    </w:p>
    <w:p>
      <w:pPr>
        <w:spacing w:line="360" w:lineRule="auto"/>
        <w:ind w:firstLine="480" w:firstLineChars="200"/>
        <w:rPr>
          <w:rFonts w:ascii="宋体" w:hAnsi="宋体"/>
          <w:sz w:val="24"/>
        </w:rPr>
      </w:pPr>
      <w:r>
        <w:rPr>
          <w:rFonts w:hint="eastAsia" w:ascii="宋体" w:hAnsi="宋体"/>
          <w:sz w:val="24"/>
        </w:rPr>
        <w:t>2、投标方应在投标文件中说明在保修期内提供的服务计划，维护范围包括（包括但不限于）软、硬件安装，调试、维修，接口、集成等内容。</w:t>
      </w:r>
    </w:p>
    <w:p>
      <w:pPr>
        <w:spacing w:line="360" w:lineRule="auto"/>
        <w:ind w:firstLine="480" w:firstLineChars="200"/>
        <w:rPr>
          <w:rFonts w:ascii="宋体" w:hAnsi="宋体"/>
          <w:sz w:val="24"/>
        </w:rPr>
      </w:pPr>
      <w:r>
        <w:rPr>
          <w:rFonts w:hint="eastAsia" w:ascii="宋体" w:hAnsi="宋体"/>
          <w:sz w:val="24"/>
        </w:rPr>
        <w:t>3、在系统的服务期内，投标方应确保系统的正常使用。在接到用户服务要求后应立即做出回应，并在承诺的服务时间内实施服务。</w:t>
      </w:r>
    </w:p>
    <w:p>
      <w:pPr>
        <w:spacing w:line="360" w:lineRule="auto"/>
        <w:ind w:firstLine="480" w:firstLineChars="200"/>
        <w:rPr>
          <w:rFonts w:ascii="宋体" w:hAnsi="宋体"/>
          <w:sz w:val="24"/>
        </w:rPr>
      </w:pPr>
      <w:r>
        <w:rPr>
          <w:rFonts w:hint="eastAsia" w:ascii="宋体" w:hAnsi="宋体"/>
          <w:sz w:val="24"/>
        </w:rPr>
        <w:t>4、投标人有良好的售后服务能力，并提供</w:t>
      </w:r>
      <w:r>
        <w:rPr>
          <w:rFonts w:hint="eastAsia" w:ascii="宋体" w:hAnsi="宋体"/>
          <w:sz w:val="24"/>
          <w:lang w:val="en-US" w:eastAsia="zh-CN"/>
        </w:rPr>
        <w:t>三年</w:t>
      </w:r>
      <w:r>
        <w:rPr>
          <w:rFonts w:hint="eastAsia" w:ascii="宋体" w:hAnsi="宋体"/>
          <w:sz w:val="24"/>
        </w:rPr>
        <w:t>免费服务及软件升级，需提供全年</w:t>
      </w:r>
      <w:r>
        <w:rPr>
          <w:rFonts w:hint="eastAsia" w:ascii="宋体" w:hAnsi="宋体"/>
          <w:sz w:val="24"/>
          <w:lang w:val="en-US" w:eastAsia="zh-CN"/>
        </w:rPr>
        <w:t>7*</w:t>
      </w:r>
      <w:r>
        <w:rPr>
          <w:rFonts w:hint="eastAsia" w:ascii="宋体" w:hAnsi="宋体"/>
          <w:sz w:val="24"/>
        </w:rPr>
        <w:t>24小时服务（电话、远程或现场），并在接到招标人通知后</w:t>
      </w:r>
      <w:r>
        <w:rPr>
          <w:rFonts w:ascii="宋体" w:hAnsi="宋体"/>
          <w:sz w:val="24"/>
        </w:rPr>
        <w:t>4</w:t>
      </w:r>
      <w:r>
        <w:rPr>
          <w:rFonts w:hint="eastAsia" w:ascii="宋体" w:hAnsi="宋体"/>
          <w:sz w:val="24"/>
        </w:rPr>
        <w:t>小时内到达现场。项目验收合格后，每年不低于4次的例行维护及巡检</w:t>
      </w:r>
      <w:r>
        <w:rPr>
          <w:rFonts w:hint="eastAsia" w:ascii="宋体" w:hAnsi="宋体"/>
          <w:sz w:val="24"/>
          <w:lang w:eastAsia="zh-CN"/>
        </w:rPr>
        <w:t>，</w:t>
      </w:r>
      <w:r>
        <w:rPr>
          <w:rFonts w:hint="eastAsia" w:ascii="宋体" w:hAnsi="宋体"/>
          <w:sz w:val="24"/>
          <w:lang w:val="en-US" w:eastAsia="zh-CN"/>
        </w:rPr>
        <w:t>并提供巡检报告</w:t>
      </w:r>
      <w:r>
        <w:rPr>
          <w:rFonts w:hint="eastAsia" w:ascii="宋体" w:hAnsi="宋体"/>
          <w:sz w:val="24"/>
        </w:rPr>
        <w:t>。例行维护内容包括：软件的功能增强性维护等应用软件系统扩充升级（其中包括系统维护、跟踪检测），保证投标方所开发的软件正常运行。</w:t>
      </w:r>
    </w:p>
    <w:p>
      <w:pPr>
        <w:pStyle w:val="8"/>
        <w:bidi w:val="0"/>
        <w:outlineLvl w:val="1"/>
      </w:pPr>
      <w:r>
        <w:t>培训</w:t>
      </w:r>
    </w:p>
    <w:p>
      <w:pPr>
        <w:spacing w:line="360" w:lineRule="auto"/>
        <w:ind w:firstLine="480" w:firstLineChars="200"/>
        <w:rPr>
          <w:rFonts w:ascii="宋体" w:hAnsi="宋体"/>
          <w:sz w:val="24"/>
        </w:rPr>
      </w:pPr>
      <w:r>
        <w:rPr>
          <w:rFonts w:hint="eastAsia" w:ascii="宋体" w:hAnsi="宋体"/>
          <w:sz w:val="24"/>
        </w:rPr>
        <w:t>1、培训：培训对象包括</w:t>
      </w:r>
      <w:r>
        <w:rPr>
          <w:rFonts w:hint="eastAsia" w:ascii="宋体" w:hAnsi="宋体"/>
          <w:sz w:val="24"/>
          <w:lang w:val="en-US" w:eastAsia="zh-CN"/>
        </w:rPr>
        <w:t>但不限于</w:t>
      </w:r>
      <w:r>
        <w:rPr>
          <w:rFonts w:hint="eastAsia" w:ascii="宋体" w:hAnsi="宋体"/>
          <w:sz w:val="24"/>
        </w:rPr>
        <w:t>系统管理员、</w:t>
      </w:r>
      <w:r>
        <w:rPr>
          <w:rFonts w:hint="eastAsia" w:ascii="宋体" w:hAnsi="宋体"/>
          <w:sz w:val="24"/>
          <w:lang w:val="en-US" w:eastAsia="zh-CN"/>
        </w:rPr>
        <w:t>护理部</w:t>
      </w:r>
      <w:r>
        <w:rPr>
          <w:rFonts w:hint="eastAsia" w:ascii="宋体" w:hAnsi="宋体"/>
          <w:sz w:val="24"/>
        </w:rPr>
        <w:t>管理人员、操作员，系统管理人员培训内容为系统中涉及的相关技术内容；</w:t>
      </w:r>
      <w:r>
        <w:rPr>
          <w:rFonts w:hint="eastAsia" w:ascii="宋体" w:hAnsi="宋体"/>
          <w:sz w:val="24"/>
          <w:lang w:val="en-US" w:eastAsia="zh-CN"/>
        </w:rPr>
        <w:t>护理部</w:t>
      </w:r>
      <w:r>
        <w:rPr>
          <w:rFonts w:hint="eastAsia" w:ascii="宋体" w:hAnsi="宋体"/>
          <w:sz w:val="24"/>
        </w:rPr>
        <w:t>管理人员培训内容为系统流程和相关管理思想；操作员为系统的操作培训。</w:t>
      </w:r>
    </w:p>
    <w:p>
      <w:pPr>
        <w:spacing w:line="360" w:lineRule="auto"/>
        <w:ind w:firstLine="480" w:firstLineChars="200"/>
        <w:rPr>
          <w:rFonts w:ascii="宋体" w:hAnsi="宋体"/>
          <w:sz w:val="24"/>
        </w:rPr>
      </w:pPr>
      <w:r>
        <w:rPr>
          <w:rFonts w:hint="eastAsia" w:ascii="宋体" w:hAnsi="宋体"/>
          <w:sz w:val="24"/>
        </w:rPr>
        <w:t>2、根据</w:t>
      </w:r>
      <w:r>
        <w:rPr>
          <w:rFonts w:hint="eastAsia" w:ascii="宋体" w:hAnsi="宋体"/>
          <w:sz w:val="24"/>
          <w:lang w:val="en-US" w:eastAsia="zh-CN"/>
        </w:rPr>
        <w:t>医院</w:t>
      </w:r>
      <w:r>
        <w:rPr>
          <w:rFonts w:hint="eastAsia" w:ascii="宋体" w:hAnsi="宋体"/>
          <w:sz w:val="24"/>
        </w:rPr>
        <w:t>的情况制定相关培训方案，课程设置等。包括培训资料、讲义等。</w:t>
      </w:r>
    </w:p>
    <w:p>
      <w:pPr>
        <w:spacing w:line="360" w:lineRule="auto"/>
        <w:ind w:firstLine="480" w:firstLineChars="200"/>
        <w:rPr>
          <w:rFonts w:hint="eastAsia" w:ascii="宋体" w:hAnsi="宋体"/>
          <w:sz w:val="24"/>
        </w:rPr>
      </w:pPr>
      <w:r>
        <w:rPr>
          <w:rFonts w:hint="eastAsia" w:ascii="宋体" w:hAnsi="宋体"/>
          <w:sz w:val="24"/>
        </w:rPr>
        <w:t>3、所有的培训费用必须计入投标总价。</w:t>
      </w:r>
    </w:p>
    <w:p>
      <w:pPr>
        <w:pStyle w:val="7"/>
        <w:widowControl w:val="0"/>
        <w:snapToGrid/>
        <w:jc w:val="both"/>
        <w:outlineLvl w:val="0"/>
        <w:rPr>
          <w:rFonts w:hint="default" w:eastAsia="宋体" w:cs="Times New Roman"/>
          <w:lang w:val="en-US" w:eastAsia="zh-CN"/>
        </w:rPr>
      </w:pPr>
      <w:r>
        <w:rPr>
          <w:rFonts w:hint="default" w:eastAsia="宋体" w:cs="Times New Roman"/>
          <w:lang w:val="en-US" w:eastAsia="zh-CN"/>
        </w:rPr>
        <w:t>项目预算说明</w:t>
      </w:r>
    </w:p>
    <w:p>
      <w:pPr>
        <w:widowControl/>
        <w:spacing w:line="400" w:lineRule="atLeast"/>
        <w:ind w:firstLine="480"/>
        <w:jc w:val="left"/>
        <w:rPr>
          <w:rFonts w:hint="default" w:ascii="宋体" w:hAnsi="宋体" w:eastAsia="宋体" w:cs="宋体"/>
          <w:kern w:val="2"/>
          <w:sz w:val="24"/>
          <w:szCs w:val="24"/>
          <w:lang w:val="en-US" w:eastAsia="zh-CN"/>
        </w:rPr>
      </w:pPr>
      <w:r>
        <w:rPr>
          <w:rFonts w:hint="default" w:ascii="宋体" w:hAnsi="宋体" w:eastAsia="宋体" w:cs="宋体"/>
          <w:kern w:val="2"/>
          <w:sz w:val="24"/>
          <w:szCs w:val="24"/>
          <w:lang w:val="en-US" w:eastAsia="zh-CN"/>
        </w:rPr>
        <w:t>本项目以人民币进行结算，项目预算总价包括：完成本项目可能发生的各项费用，包括安装调试、售后维保、培训、实施人员工资、交通、利润、税收、招标代理费、我院现有软件信息系统接口费以及所有有关的管理成本和其他不可预见费等全部费用。</w:t>
      </w:r>
    </w:p>
    <w:p>
      <w:pPr>
        <w:pStyle w:val="2"/>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ind w:firstLine="36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12"/>
                      <w:ind w:firstLine="36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AC2C8"/>
    <w:multiLevelType w:val="multilevel"/>
    <w:tmpl w:val="A00AC2C8"/>
    <w:lvl w:ilvl="0" w:tentative="0">
      <w:start w:val="1"/>
      <w:numFmt w:val="decimal"/>
      <w:lvlText w:val="第%1章"/>
      <w:lvlJc w:val="left"/>
      <w:pPr>
        <w:tabs>
          <w:tab w:val="left" w:pos="432"/>
        </w:tabs>
        <w:ind w:left="432" w:hanging="432"/>
      </w:pPr>
      <w:rPr>
        <w:rFonts w:hint="eastAsia"/>
      </w:rPr>
    </w:lvl>
    <w:lvl w:ilvl="1" w:tentative="0">
      <w:start w:val="1"/>
      <w:numFmt w:val="decimal"/>
      <w:pStyle w:val="7"/>
      <w:lvlText w:val="%1.%2"/>
      <w:lvlJc w:val="left"/>
      <w:pPr>
        <w:tabs>
          <w:tab w:val="left" w:pos="576"/>
        </w:tabs>
        <w:ind w:left="576" w:hanging="576"/>
      </w:pPr>
      <w:rPr>
        <w:rFonts w:hint="eastAsia"/>
      </w:rPr>
    </w:lvl>
    <w:lvl w:ilvl="2" w:tentative="0">
      <w:start w:val="1"/>
      <w:numFmt w:val="decimal"/>
      <w:pStyle w:val="8"/>
      <w:lvlText w:val="%1.%2.%3"/>
      <w:lvlJc w:val="left"/>
      <w:pPr>
        <w:tabs>
          <w:tab w:val="left" w:pos="720"/>
        </w:tabs>
        <w:ind w:left="720" w:hanging="720"/>
      </w:pPr>
      <w:rPr>
        <w:rFonts w:hint="eastAsia"/>
      </w:rPr>
    </w:lvl>
    <w:lvl w:ilvl="3" w:tentative="0">
      <w:start w:val="1"/>
      <w:numFmt w:val="decimal"/>
      <w:pStyle w:val="9"/>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45133286"/>
    <w:multiLevelType w:val="multilevel"/>
    <w:tmpl w:val="45133286"/>
    <w:lvl w:ilvl="0" w:tentative="0">
      <w:start w:val="1"/>
      <w:numFmt w:val="chineseCountingThousand"/>
      <w:pStyle w:val="6"/>
      <w:lvlText w:val="%1."/>
      <w:lvlJc w:val="left"/>
      <w:pPr>
        <w:ind w:left="0" w:firstLine="0"/>
      </w:pPr>
      <w:rPr>
        <w:rFonts w:hint="eastAsia" w:ascii="宋体" w:hAnsi="宋体" w:eastAsia="宋体"/>
        <w:b/>
        <w:i w:val="0"/>
        <w:sz w:val="32"/>
        <w:szCs w:val="21"/>
      </w:rPr>
    </w:lvl>
    <w:lvl w:ilvl="1" w:tentative="0">
      <w:start w:val="1"/>
      <w:numFmt w:val="decimal"/>
      <w:lvlText w:val="%2."/>
      <w:lvlJc w:val="left"/>
      <w:pPr>
        <w:ind w:left="0" w:firstLine="0"/>
      </w:pPr>
      <w:rPr>
        <w:rFonts w:hint="eastAsia"/>
      </w:rPr>
    </w:lvl>
    <w:lvl w:ilvl="2" w:tentative="0">
      <w:start w:val="1"/>
      <w:numFmt w:val="decimal"/>
      <w:lvlText w:val="%2.%3."/>
      <w:lvlJc w:val="left"/>
      <w:pPr>
        <w:ind w:left="0" w:firstLine="0"/>
      </w:pPr>
      <w:rPr>
        <w:rFonts w:hint="eastAsia"/>
      </w:rPr>
    </w:lvl>
    <w:lvl w:ilvl="3" w:tentative="0">
      <w:start w:val="1"/>
      <w:numFmt w:val="decimal"/>
      <w:lvlText w:val="%2.%3.%4."/>
      <w:lvlJc w:val="left"/>
      <w:pPr>
        <w:ind w:left="0" w:firstLine="0"/>
      </w:pPr>
      <w:rPr>
        <w:rFonts w:hint="eastAsia"/>
      </w:rPr>
    </w:lvl>
    <w:lvl w:ilvl="4" w:tentative="0">
      <w:start w:val="1"/>
      <w:numFmt w:val="decimal"/>
      <w:lvlText w:val="%2.%3.%4.%5."/>
      <w:lvlJc w:val="left"/>
      <w:pPr>
        <w:ind w:left="0" w:firstLine="0"/>
      </w:pPr>
      <w:rPr>
        <w:rFonts w:hint="eastAsia"/>
      </w:rPr>
    </w:lvl>
    <w:lvl w:ilvl="5" w:tentative="0">
      <w:start w:val="1"/>
      <w:numFmt w:val="decimal"/>
      <w:isLgl/>
      <w:lvlText w:val="%2.%3.%4.%5.%6."/>
      <w:lvlJc w:val="left"/>
      <w:pPr>
        <w:ind w:left="0" w:firstLine="0"/>
      </w:pPr>
      <w:rPr>
        <w:rFonts w:hint="eastAsia" w:ascii="宋体" w:hAnsi="宋体" w:eastAsia="宋体" w:cs="Times New Roman"/>
        <w:b/>
        <w:bCs w:val="0"/>
        <w:i w:val="0"/>
        <w:iCs w:val="0"/>
        <w:caps w:val="0"/>
        <w:smallCaps w:val="0"/>
        <w:strike w:val="0"/>
        <w:dstrike w:val="0"/>
        <w:vanish w:val="0"/>
        <w:color w:val="00000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isLg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B4C43"/>
    <w:rsid w:val="05A60E33"/>
    <w:rsid w:val="0F1F4336"/>
    <w:rsid w:val="16F24A73"/>
    <w:rsid w:val="29D9666E"/>
    <w:rsid w:val="2F261350"/>
    <w:rsid w:val="31113BD6"/>
    <w:rsid w:val="332163F9"/>
    <w:rsid w:val="35E13B80"/>
    <w:rsid w:val="39FC3498"/>
    <w:rsid w:val="42DC0B30"/>
    <w:rsid w:val="4D9C37B0"/>
    <w:rsid w:val="56B10B0F"/>
    <w:rsid w:val="5B7B4C43"/>
    <w:rsid w:val="5F6B609D"/>
    <w:rsid w:val="6C1778A3"/>
    <w:rsid w:val="6C554B0D"/>
    <w:rsid w:val="74226059"/>
    <w:rsid w:val="7DC15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6">
    <w:name w:val="heading 1"/>
    <w:basedOn w:val="1"/>
    <w:next w:val="1"/>
    <w:qFormat/>
    <w:uiPriority w:val="0"/>
    <w:pPr>
      <w:keepNext/>
      <w:keepLines/>
      <w:numPr>
        <w:ilvl w:val="0"/>
        <w:numId w:val="1"/>
      </w:numPr>
      <w:spacing w:before="163" w:beforeLines="50" w:after="163" w:afterLines="50"/>
      <w:jc w:val="left"/>
      <w:outlineLvl w:val="0"/>
    </w:pPr>
    <w:rPr>
      <w:b/>
      <w:kern w:val="44"/>
      <w:sz w:val="32"/>
    </w:rPr>
  </w:style>
  <w:style w:type="paragraph" w:styleId="7">
    <w:name w:val="heading 2"/>
    <w:basedOn w:val="1"/>
    <w:next w:val="1"/>
    <w:qFormat/>
    <w:uiPriority w:val="0"/>
    <w:pPr>
      <w:keepNext/>
      <w:keepLines/>
      <w:numPr>
        <w:ilvl w:val="1"/>
        <w:numId w:val="2"/>
      </w:numPr>
      <w:adjustRightInd w:val="0"/>
      <w:spacing w:before="120" w:after="120" w:line="360" w:lineRule="auto"/>
      <w:ind w:left="0" w:firstLine="0" w:firstLineChars="0"/>
      <w:textAlignment w:val="baseline"/>
      <w:outlineLvl w:val="1"/>
    </w:pPr>
    <w:rPr>
      <w:rFonts w:ascii="宋体" w:hAnsi="宋体"/>
      <w:b/>
      <w:color w:val="000000"/>
      <w:kern w:val="28"/>
      <w:sz w:val="30"/>
      <w:szCs w:val="30"/>
    </w:rPr>
  </w:style>
  <w:style w:type="paragraph" w:styleId="8">
    <w:name w:val="heading 3"/>
    <w:basedOn w:val="1"/>
    <w:next w:val="1"/>
    <w:qFormat/>
    <w:uiPriority w:val="0"/>
    <w:pPr>
      <w:keepNext/>
      <w:keepLines/>
      <w:numPr>
        <w:ilvl w:val="2"/>
        <w:numId w:val="2"/>
      </w:numPr>
      <w:adjustRightInd w:val="0"/>
      <w:spacing w:before="120" w:after="120" w:line="360" w:lineRule="auto"/>
      <w:ind w:left="0" w:firstLine="0" w:firstLineChars="0"/>
      <w:jc w:val="left"/>
      <w:textAlignment w:val="baseline"/>
      <w:outlineLvl w:val="2"/>
    </w:pPr>
    <w:rPr>
      <w:rFonts w:ascii="宋体" w:hAnsi="宋体"/>
      <w:b/>
      <w:kern w:val="0"/>
      <w:sz w:val="28"/>
      <w:szCs w:val="28"/>
    </w:rPr>
  </w:style>
  <w:style w:type="paragraph" w:styleId="9">
    <w:name w:val="heading 4"/>
    <w:basedOn w:val="1"/>
    <w:next w:val="1"/>
    <w:qFormat/>
    <w:uiPriority w:val="0"/>
    <w:pPr>
      <w:keepNext/>
      <w:keepLines/>
      <w:numPr>
        <w:ilvl w:val="3"/>
        <w:numId w:val="2"/>
      </w:numPr>
      <w:adjustRightInd w:val="0"/>
      <w:spacing w:before="120" w:after="120" w:line="360" w:lineRule="auto"/>
      <w:ind w:left="0" w:firstLine="0" w:firstLineChars="0"/>
      <w:jc w:val="left"/>
      <w:textAlignment w:val="baseline"/>
      <w:outlineLvl w:val="3"/>
    </w:pPr>
    <w:rPr>
      <w:rFonts w:ascii="Arial" w:hAnsi="Arial"/>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tabs>
        <w:tab w:val="left" w:pos="360"/>
      </w:tabs>
      <w:ind w:firstLine="420" w:firstLineChars="100"/>
    </w:pPr>
  </w:style>
  <w:style w:type="paragraph" w:styleId="3">
    <w:name w:val="Body Text"/>
    <w:basedOn w:val="1"/>
    <w:next w:val="4"/>
    <w:qFormat/>
    <w:uiPriority w:val="1"/>
    <w:pPr>
      <w:tabs>
        <w:tab w:val="left" w:pos="360"/>
      </w:tabs>
      <w:spacing w:after="120"/>
      <w:ind w:left="360" w:hanging="360"/>
    </w:pPr>
    <w:rPr>
      <w:rFonts w:ascii="Calibri" w:hAnsi="Calibri"/>
      <w:sz w:val="21"/>
      <w:szCs w:val="22"/>
    </w:rPr>
  </w:style>
  <w:style w:type="paragraph" w:customStyle="1" w:styleId="4">
    <w:name w:val="一级条标题"/>
    <w:basedOn w:val="5"/>
    <w:next w:val="1"/>
    <w:qFormat/>
    <w:uiPriority w:val="99"/>
    <w:pPr>
      <w:spacing w:line="240" w:lineRule="auto"/>
      <w:ind w:left="420"/>
      <w:outlineLvl w:val="2"/>
    </w:pPr>
  </w:style>
  <w:style w:type="paragraph" w:customStyle="1" w:styleId="5">
    <w:name w:val="章标题"/>
    <w:next w:val="1"/>
    <w:qFormat/>
    <w:uiPriority w:val="99"/>
    <w:pPr>
      <w:spacing w:line="360" w:lineRule="auto"/>
      <w:jc w:val="both"/>
      <w:outlineLvl w:val="1"/>
    </w:pPr>
    <w:rPr>
      <w:rFonts w:ascii="黑体" w:hAnsi="Times New Roman" w:eastAsia="黑体" w:cs="Times New Roman"/>
      <w:sz w:val="21"/>
      <w:szCs w:val="22"/>
      <w:lang w:val="en-US" w:eastAsia="zh-CN" w:bidi="ar-SA"/>
    </w:rPr>
  </w:style>
  <w:style w:type="paragraph" w:styleId="10">
    <w:name w:val="Body Text 3"/>
    <w:basedOn w:val="1"/>
    <w:qFormat/>
    <w:uiPriority w:val="0"/>
    <w:pPr>
      <w:jc w:val="center"/>
    </w:pPr>
    <w:rPr>
      <w:sz w:val="18"/>
    </w:rPr>
  </w:style>
  <w:style w:type="paragraph" w:styleId="11">
    <w:name w:val="Plain Text"/>
    <w:basedOn w:val="1"/>
    <w:qFormat/>
    <w:uiPriority w:val="99"/>
    <w:rPr>
      <w:rFonts w:ascii="宋体" w:hAnsi="Courier New"/>
      <w:sz w:val="21"/>
      <w:szCs w:val="21"/>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NormalCharacter"/>
    <w:semiHidden/>
    <w:qFormat/>
    <w:uiPriority w:val="0"/>
  </w:style>
  <w:style w:type="paragraph" w:customStyle="1" w:styleId="18">
    <w:name w:val="编号正文5"/>
    <w:basedOn w:val="1"/>
    <w:qFormat/>
    <w:uiPriority w:val="0"/>
    <w:pPr>
      <w:adjustRightInd w:val="0"/>
      <w:spacing w:line="240" w:lineRule="atLeast"/>
      <w:ind w:left="709" w:hanging="425"/>
      <w:textAlignment w:val="baseline"/>
    </w:pPr>
    <w:rPr>
      <w:kern w:val="0"/>
    </w:rPr>
  </w:style>
  <w:style w:type="paragraph" w:customStyle="1" w:styleId="19">
    <w:name w:val="无间隔1"/>
    <w:qFormat/>
    <w:uiPriority w:val="0"/>
    <w:pPr>
      <w:widowControl w:val="0"/>
      <w:spacing w:line="360" w:lineRule="auto"/>
      <w:jc w:val="both"/>
    </w:pPr>
    <w:rPr>
      <w:rFonts w:ascii="Times New Roman" w:hAnsi="Times New Roman" w:eastAsia="宋体" w:cs="Times New Roman"/>
      <w:kern w:val="0"/>
      <w:sz w:val="24"/>
      <w:szCs w:val="20"/>
      <w:lang w:val="en-US" w:eastAsia="zh-CN" w:bidi="ar-SA"/>
    </w:rPr>
  </w:style>
  <w:style w:type="paragraph" w:customStyle="1" w:styleId="20">
    <w:name w:val="正文_0_1_0"/>
    <w:basedOn w:val="1"/>
    <w:qFormat/>
    <w:uiPriority w:val="0"/>
    <w:pPr>
      <w:spacing w:line="240" w:lineRule="auto"/>
      <w:ind w:firstLine="0" w:firstLineChars="0"/>
    </w:pPr>
    <w:rPr>
      <w:rFonts w:ascii="Calibri" w:hAnsi="Calibri" w:eastAsia="宋体" w:cs="Times New Roman"/>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260</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2023-07-25T02:11:00Z</dcterms:created>
  <dc:creator>Administrator</dc:creator>
  <cp:lastModifiedBy>Administrator</cp:lastModifiedBy>
  <cp:lastPrinted>2023-09-07T06:50:00Z</cp:lastPrinted>
  <dcterms:modified xsi:type="dcterms:W3CDTF">2023-10-09T07:46:49Z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