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snapToGrid/>
        <w:spacing w:after="0" w:line="240" w:lineRule="auto"/>
        <w:ind w:firstLine="0" w:firstLineChars="0"/>
        <w:jc w:val="center"/>
        <w:outlineLvl w:val="0"/>
        <w:rPr>
          <w:rFonts w:hint="eastAsia" w:ascii="宋体" w:hAnsi="宋体" w:eastAsia="宋体" w:cs="Times New Roman"/>
          <w:b/>
          <w:bCs/>
          <w:kern w:val="0"/>
          <w:sz w:val="36"/>
          <w:szCs w:val="36"/>
          <w:lang w:val="en-US" w:eastAsia="zh-CN"/>
        </w:rPr>
      </w:pPr>
      <w:r>
        <w:rPr>
          <w:rFonts w:hint="eastAsia" w:ascii="宋体" w:hAnsi="宋体" w:eastAsia="宋体" w:cs="Times New Roman"/>
          <w:b/>
          <w:bCs/>
          <w:kern w:val="0"/>
          <w:sz w:val="36"/>
          <w:szCs w:val="36"/>
          <w:lang w:val="en-US" w:eastAsia="zh-CN"/>
        </w:rPr>
        <w:t>青海红十字医院心电图数据分析管理系统</w:t>
      </w:r>
    </w:p>
    <w:p>
      <w:pPr>
        <w:widowControl/>
        <w:adjustRightInd/>
        <w:snapToGrid/>
        <w:spacing w:after="0" w:line="240" w:lineRule="auto"/>
        <w:ind w:firstLine="0" w:firstLineChars="0"/>
        <w:jc w:val="center"/>
        <w:outlineLvl w:val="0"/>
        <w:rPr>
          <w:rFonts w:hint="eastAsia" w:ascii="宋体" w:hAnsi="宋体" w:eastAsia="宋体" w:cs="Times New Roman"/>
          <w:b/>
          <w:bCs/>
          <w:kern w:val="0"/>
          <w:sz w:val="36"/>
          <w:szCs w:val="36"/>
          <w:lang w:val="en-US" w:eastAsia="zh-CN"/>
        </w:rPr>
      </w:pPr>
      <w:r>
        <w:rPr>
          <w:rFonts w:hint="eastAsia" w:ascii="宋体" w:hAnsi="宋体" w:eastAsia="宋体" w:cs="Times New Roman"/>
          <w:b/>
          <w:bCs/>
          <w:kern w:val="0"/>
          <w:sz w:val="36"/>
          <w:szCs w:val="36"/>
          <w:lang w:val="en-US" w:eastAsia="zh-CN"/>
        </w:rPr>
        <w:t>升级及服务项目采购一览表及技术参数</w:t>
      </w:r>
    </w:p>
    <w:p>
      <w:pPr>
        <w:pStyle w:val="6"/>
        <w:widowControl w:val="0"/>
        <w:snapToGrid/>
        <w:jc w:val="both"/>
        <w:outlineLvl w:val="0"/>
        <w:rPr>
          <w:rFonts w:hint="eastAsia" w:eastAsia="宋体" w:cs="Times New Roman"/>
          <w:lang w:val="en-US" w:eastAsia="zh-CN"/>
        </w:rPr>
      </w:pPr>
      <w:r>
        <w:rPr>
          <w:rFonts w:hint="eastAsia" w:eastAsia="宋体" w:cs="Times New Roman"/>
          <w:lang w:val="en-US" w:eastAsia="zh-CN"/>
        </w:rPr>
        <w:t>项目概况</w:t>
      </w:r>
    </w:p>
    <w:p>
      <w:pPr>
        <w:keepNext w:val="0"/>
        <w:keepLines w:val="0"/>
        <w:pageBreakBefore w:val="0"/>
        <w:widowControl/>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1.1.1项目名称：青海红十字医院心电图数据分析管理系统升级及服务项目</w:t>
      </w:r>
    </w:p>
    <w:p>
      <w:pPr>
        <w:keepNext w:val="0"/>
        <w:keepLines w:val="0"/>
        <w:pageBreakBefore w:val="0"/>
        <w:widowControl/>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1.1.2采购预算：28万元</w:t>
      </w:r>
    </w:p>
    <w:p>
      <w:pPr>
        <w:keepNext w:val="0"/>
        <w:keepLines w:val="0"/>
        <w:pageBreakBefore w:val="0"/>
        <w:widowControl/>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1.1.3服务期限：签订合同时提供两年7*24小时服务（投标时提供承诺函），第一年包含系统功能升级。</w:t>
      </w:r>
    </w:p>
    <w:p>
      <w:pPr>
        <w:keepNext w:val="0"/>
        <w:keepLines w:val="0"/>
        <w:pageBreakBefore w:val="0"/>
        <w:widowControl/>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b/>
          <w:sz w:val="24"/>
          <w:szCs w:val="24"/>
          <w:lang w:val="en-US" w:eastAsia="zh-CN"/>
        </w:rPr>
      </w:pPr>
      <w:r>
        <w:rPr>
          <w:rFonts w:hint="eastAsia" w:ascii="宋体" w:hAnsi="宋体" w:eastAsia="宋体" w:cs="宋体"/>
          <w:sz w:val="24"/>
          <w:szCs w:val="24"/>
          <w:lang w:val="en-US" w:eastAsia="zh-CN"/>
        </w:rPr>
        <w:t>1.1.4服务地点：青海红十字医院（西宁市南大街55号）。</w:t>
      </w:r>
    </w:p>
    <w:p>
      <w:pPr>
        <w:pStyle w:val="6"/>
        <w:widowControl w:val="0"/>
        <w:snapToGrid/>
        <w:jc w:val="both"/>
        <w:outlineLvl w:val="0"/>
        <w:rPr>
          <w:rFonts w:hint="eastAsia" w:eastAsia="宋体" w:cs="Times New Roman"/>
          <w:lang w:val="en-US" w:eastAsia="zh-CN"/>
        </w:rPr>
      </w:pPr>
      <w:r>
        <w:rPr>
          <w:rFonts w:hint="eastAsia" w:eastAsia="宋体" w:cs="Times New Roman"/>
          <w:lang w:val="en-US" w:eastAsia="zh-CN"/>
        </w:rPr>
        <w:t>服务内容和要求</w:t>
      </w:r>
    </w:p>
    <w:p>
      <w:pPr>
        <w:keepNext w:val="0"/>
        <w:keepLines w:val="0"/>
        <w:pageBreakBefore w:val="0"/>
        <w:widowControl/>
        <w:kinsoku/>
        <w:wordWrap/>
        <w:overflowPunct/>
        <w:topLinePunct w:val="0"/>
        <w:autoSpaceDE/>
        <w:autoSpaceDN/>
        <w:bidi w:val="0"/>
        <w:adjustRightInd/>
        <w:snapToGrid/>
        <w:spacing w:after="0" w:line="400" w:lineRule="atLeast"/>
        <w:ind w:left="0" w:leftChars="0" w:firstLine="480" w:firstLineChars="200"/>
        <w:jc w:val="left"/>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本次招标内容包括软件系统的二次开发、系统功能升级、接口开发、bug修复、技术支持、运行维护、调试、培训等。投标方必须具备完成该项目的经营范围及技术能力。需维保软件产品如表1.2-1所示：</w:t>
      </w:r>
    </w:p>
    <w:tbl>
      <w:tblPr>
        <w:tblStyle w:val="13"/>
        <w:tblpPr w:leftFromText="180" w:rightFromText="180" w:vertAnchor="text" w:horzAnchor="page" w:tblpX="1739" w:tblpY="259"/>
        <w:tblOverlap w:val="never"/>
        <w:tblW w:w="4998" w:type="pct"/>
        <w:jc w:val="center"/>
        <w:tblLayout w:type="autofit"/>
        <w:tblCellMar>
          <w:top w:w="0" w:type="dxa"/>
          <w:left w:w="115" w:type="dxa"/>
          <w:bottom w:w="0" w:type="dxa"/>
          <w:right w:w="115" w:type="dxa"/>
        </w:tblCellMar>
      </w:tblPr>
      <w:tblGrid>
        <w:gridCol w:w="942"/>
        <w:gridCol w:w="2986"/>
        <w:gridCol w:w="1608"/>
        <w:gridCol w:w="1608"/>
        <w:gridCol w:w="1389"/>
      </w:tblGrid>
      <w:tr>
        <w:tblPrEx>
          <w:tblCellMar>
            <w:top w:w="0" w:type="dxa"/>
            <w:left w:w="115" w:type="dxa"/>
            <w:bottom w:w="0" w:type="dxa"/>
            <w:right w:w="115" w:type="dxa"/>
          </w:tblCellMar>
        </w:tblPrEx>
        <w:trPr>
          <w:trHeight w:val="732" w:hRule="atLeast"/>
          <w:jc w:val="center"/>
        </w:trPr>
        <w:tc>
          <w:tcPr>
            <w:tcW w:w="552" w:type="pct"/>
            <w:tcBorders>
              <w:top w:val="single" w:color="000000" w:sz="4" w:space="0"/>
              <w:left w:val="single" w:color="000000" w:sz="4" w:space="0"/>
              <w:bottom w:val="single" w:color="000000" w:sz="4" w:space="0"/>
              <w:right w:val="single" w:color="000000" w:sz="4" w:space="0"/>
            </w:tcBorders>
            <w:noWrap w:val="0"/>
            <w:vAlign w:val="center"/>
          </w:tcPr>
          <w:p>
            <w:pPr>
              <w:spacing w:before="93" w:beforeLines="30" w:after="93" w:afterLines="30" w:line="312" w:lineRule="auto"/>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序号</w:t>
            </w:r>
          </w:p>
        </w:tc>
        <w:tc>
          <w:tcPr>
            <w:tcW w:w="1749" w:type="pct"/>
            <w:tcBorders>
              <w:top w:val="single" w:color="000000" w:sz="4" w:space="0"/>
              <w:left w:val="single" w:color="000000" w:sz="4" w:space="0"/>
              <w:bottom w:val="single" w:color="000000" w:sz="4" w:space="0"/>
              <w:right w:val="single" w:color="000000" w:sz="4" w:space="0"/>
            </w:tcBorders>
            <w:noWrap w:val="0"/>
            <w:vAlign w:val="center"/>
          </w:tcPr>
          <w:p>
            <w:pPr>
              <w:spacing w:before="93" w:beforeLines="30" w:after="93" w:afterLines="30" w:line="312" w:lineRule="auto"/>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系统名称</w:t>
            </w:r>
          </w:p>
        </w:tc>
        <w:tc>
          <w:tcPr>
            <w:tcW w:w="942" w:type="pct"/>
            <w:tcBorders>
              <w:top w:val="single" w:color="000000" w:sz="4" w:space="0"/>
              <w:left w:val="single" w:color="000000" w:sz="4" w:space="0"/>
              <w:bottom w:val="single" w:color="000000" w:sz="4" w:space="0"/>
              <w:right w:val="single" w:color="000000" w:sz="4" w:space="0"/>
            </w:tcBorders>
            <w:noWrap w:val="0"/>
            <w:vAlign w:val="center"/>
          </w:tcPr>
          <w:p>
            <w:pPr>
              <w:spacing w:before="93" w:beforeLines="30" w:after="93" w:afterLines="30" w:line="312" w:lineRule="auto"/>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型号</w:t>
            </w:r>
          </w:p>
        </w:tc>
        <w:tc>
          <w:tcPr>
            <w:tcW w:w="942" w:type="pct"/>
            <w:tcBorders>
              <w:top w:val="single" w:color="000000" w:sz="4" w:space="0"/>
              <w:left w:val="single" w:color="000000" w:sz="4" w:space="0"/>
              <w:bottom w:val="single" w:color="000000" w:sz="4" w:space="0"/>
              <w:right w:val="single" w:color="000000" w:sz="4" w:space="0"/>
            </w:tcBorders>
            <w:noWrap w:val="0"/>
            <w:vAlign w:val="center"/>
          </w:tcPr>
          <w:p>
            <w:pPr>
              <w:spacing w:before="93" w:beforeLines="30" w:after="93" w:afterLines="30" w:line="312" w:lineRule="auto"/>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数量</w:t>
            </w:r>
          </w:p>
        </w:tc>
        <w:tc>
          <w:tcPr>
            <w:tcW w:w="813" w:type="pct"/>
            <w:tcBorders>
              <w:top w:val="single" w:color="000000" w:sz="4" w:space="0"/>
              <w:left w:val="single" w:color="000000" w:sz="4" w:space="0"/>
              <w:bottom w:val="single" w:color="000000" w:sz="4" w:space="0"/>
              <w:right w:val="single" w:color="000000" w:sz="4" w:space="0"/>
            </w:tcBorders>
            <w:noWrap w:val="0"/>
            <w:vAlign w:val="center"/>
          </w:tcPr>
          <w:p>
            <w:pPr>
              <w:spacing w:before="93" w:beforeLines="30" w:after="93" w:afterLines="30" w:line="312" w:lineRule="auto"/>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版本号</w:t>
            </w:r>
          </w:p>
        </w:tc>
      </w:tr>
      <w:tr>
        <w:tblPrEx>
          <w:tblCellMar>
            <w:top w:w="0" w:type="dxa"/>
            <w:left w:w="115" w:type="dxa"/>
            <w:bottom w:w="0" w:type="dxa"/>
            <w:right w:w="115" w:type="dxa"/>
          </w:tblCellMar>
        </w:tblPrEx>
        <w:trPr>
          <w:trHeight w:val="732" w:hRule="atLeast"/>
          <w:jc w:val="center"/>
        </w:trPr>
        <w:tc>
          <w:tcPr>
            <w:tcW w:w="552" w:type="pct"/>
            <w:tcBorders>
              <w:top w:val="single" w:color="000000" w:sz="4" w:space="0"/>
              <w:left w:val="single" w:color="000000" w:sz="4" w:space="0"/>
              <w:bottom w:val="single" w:color="000000" w:sz="4" w:space="0"/>
              <w:right w:val="single" w:color="000000" w:sz="4" w:space="0"/>
            </w:tcBorders>
            <w:noWrap w:val="0"/>
            <w:vAlign w:val="center"/>
          </w:tcPr>
          <w:p>
            <w:pPr>
              <w:spacing w:before="93" w:beforeLines="30" w:after="93" w:afterLines="30" w:line="312" w:lineRule="auto"/>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w:t>
            </w:r>
          </w:p>
        </w:tc>
        <w:tc>
          <w:tcPr>
            <w:tcW w:w="1749" w:type="pct"/>
            <w:tcBorders>
              <w:top w:val="single" w:color="000000" w:sz="4" w:space="0"/>
              <w:left w:val="single" w:color="000000" w:sz="4" w:space="0"/>
              <w:bottom w:val="single" w:color="000000" w:sz="4" w:space="0"/>
              <w:right w:val="single" w:color="000000" w:sz="4" w:space="0"/>
            </w:tcBorders>
            <w:noWrap w:val="0"/>
            <w:vAlign w:val="center"/>
          </w:tcPr>
          <w:p>
            <w:pPr>
              <w:spacing w:before="93" w:beforeLines="30" w:after="93" w:afterLines="30" w:line="312" w:lineRule="auto"/>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便携式心电检查仪</w:t>
            </w:r>
          </w:p>
        </w:tc>
        <w:tc>
          <w:tcPr>
            <w:tcW w:w="942" w:type="pct"/>
            <w:tcBorders>
              <w:top w:val="single" w:color="000000" w:sz="4" w:space="0"/>
              <w:left w:val="single" w:color="000000" w:sz="4" w:space="0"/>
              <w:bottom w:val="single" w:color="000000" w:sz="4" w:space="0"/>
              <w:right w:val="single" w:color="000000" w:sz="4" w:space="0"/>
            </w:tcBorders>
            <w:noWrap w:val="0"/>
            <w:vAlign w:val="center"/>
          </w:tcPr>
          <w:p>
            <w:pPr>
              <w:spacing w:before="93" w:beforeLines="30" w:after="93" w:afterLines="30" w:line="312" w:lineRule="auto"/>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MECG-300</w:t>
            </w:r>
          </w:p>
        </w:tc>
        <w:tc>
          <w:tcPr>
            <w:tcW w:w="942" w:type="pct"/>
            <w:tcBorders>
              <w:top w:val="single" w:color="000000" w:sz="4" w:space="0"/>
              <w:left w:val="single" w:color="000000" w:sz="4" w:space="0"/>
              <w:bottom w:val="single" w:color="000000" w:sz="4" w:space="0"/>
              <w:right w:val="single" w:color="000000" w:sz="4" w:space="0"/>
            </w:tcBorders>
            <w:noWrap w:val="0"/>
            <w:vAlign w:val="center"/>
          </w:tcPr>
          <w:p>
            <w:pPr>
              <w:spacing w:before="93" w:beforeLines="30" w:after="93" w:afterLines="30" w:line="312" w:lineRule="auto"/>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17套</w:t>
            </w:r>
          </w:p>
        </w:tc>
        <w:tc>
          <w:tcPr>
            <w:tcW w:w="813" w:type="pct"/>
            <w:tcBorders>
              <w:top w:val="single" w:color="000000" w:sz="4" w:space="0"/>
              <w:left w:val="single" w:color="000000" w:sz="4" w:space="0"/>
              <w:bottom w:val="single" w:color="000000" w:sz="4" w:space="0"/>
              <w:right w:val="single" w:color="000000" w:sz="4" w:space="0"/>
            </w:tcBorders>
            <w:noWrap w:val="0"/>
            <w:vAlign w:val="center"/>
          </w:tcPr>
          <w:p>
            <w:pPr>
              <w:spacing w:before="93" w:beforeLines="30" w:after="93" w:afterLines="30" w:line="312" w:lineRule="auto"/>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4.8.012</w:t>
            </w:r>
          </w:p>
        </w:tc>
      </w:tr>
      <w:tr>
        <w:tblPrEx>
          <w:tblCellMar>
            <w:top w:w="0" w:type="dxa"/>
            <w:left w:w="115" w:type="dxa"/>
            <w:bottom w:w="0" w:type="dxa"/>
            <w:right w:w="115" w:type="dxa"/>
          </w:tblCellMar>
        </w:tblPrEx>
        <w:trPr>
          <w:trHeight w:val="732" w:hRule="atLeast"/>
          <w:jc w:val="center"/>
        </w:trPr>
        <w:tc>
          <w:tcPr>
            <w:tcW w:w="552" w:type="pct"/>
            <w:tcBorders>
              <w:top w:val="single" w:color="000000" w:sz="4" w:space="0"/>
              <w:left w:val="single" w:color="000000" w:sz="4" w:space="0"/>
              <w:bottom w:val="single" w:color="000000" w:sz="4" w:space="0"/>
              <w:right w:val="single" w:color="000000" w:sz="4" w:space="0"/>
            </w:tcBorders>
            <w:noWrap w:val="0"/>
            <w:vAlign w:val="center"/>
          </w:tcPr>
          <w:p>
            <w:pPr>
              <w:spacing w:before="93" w:beforeLines="30" w:after="93" w:afterLines="30" w:line="312" w:lineRule="auto"/>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w:t>
            </w:r>
          </w:p>
        </w:tc>
        <w:tc>
          <w:tcPr>
            <w:tcW w:w="1749" w:type="pct"/>
            <w:tcBorders>
              <w:top w:val="single" w:color="000000" w:sz="4" w:space="0"/>
              <w:left w:val="single" w:color="000000" w:sz="4" w:space="0"/>
              <w:bottom w:val="single" w:color="000000" w:sz="4" w:space="0"/>
              <w:right w:val="single" w:color="000000" w:sz="4" w:space="0"/>
            </w:tcBorders>
            <w:noWrap w:val="0"/>
            <w:vAlign w:val="center"/>
          </w:tcPr>
          <w:p>
            <w:pPr>
              <w:spacing w:before="93" w:beforeLines="30" w:after="93" w:afterLines="30" w:line="312" w:lineRule="auto"/>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门诊心电采集工作站</w:t>
            </w:r>
          </w:p>
        </w:tc>
        <w:tc>
          <w:tcPr>
            <w:tcW w:w="942" w:type="pct"/>
            <w:tcBorders>
              <w:top w:val="single" w:color="000000" w:sz="4" w:space="0"/>
              <w:left w:val="single" w:color="000000" w:sz="4" w:space="0"/>
              <w:bottom w:val="single" w:color="000000" w:sz="4" w:space="0"/>
              <w:right w:val="single" w:color="000000" w:sz="4" w:space="0"/>
            </w:tcBorders>
            <w:noWrap w:val="0"/>
            <w:vAlign w:val="center"/>
          </w:tcPr>
          <w:p>
            <w:pPr>
              <w:spacing w:before="93" w:beforeLines="30" w:after="93" w:afterLines="30" w:line="312" w:lineRule="auto"/>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MECG-200</w:t>
            </w:r>
          </w:p>
        </w:tc>
        <w:tc>
          <w:tcPr>
            <w:tcW w:w="942" w:type="pct"/>
            <w:tcBorders>
              <w:top w:val="single" w:color="000000" w:sz="4" w:space="0"/>
              <w:left w:val="single" w:color="000000" w:sz="4" w:space="0"/>
              <w:bottom w:val="single" w:color="000000" w:sz="4" w:space="0"/>
              <w:right w:val="single" w:color="000000" w:sz="4" w:space="0"/>
            </w:tcBorders>
            <w:noWrap w:val="0"/>
            <w:vAlign w:val="center"/>
          </w:tcPr>
          <w:p>
            <w:pPr>
              <w:spacing w:before="93" w:beforeLines="30" w:after="93" w:afterLines="30" w:line="312" w:lineRule="auto"/>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2套</w:t>
            </w:r>
          </w:p>
        </w:tc>
        <w:tc>
          <w:tcPr>
            <w:tcW w:w="813" w:type="pct"/>
            <w:tcBorders>
              <w:top w:val="single" w:color="000000" w:sz="4" w:space="0"/>
              <w:left w:val="single" w:color="000000" w:sz="4" w:space="0"/>
              <w:bottom w:val="single" w:color="000000" w:sz="4" w:space="0"/>
              <w:right w:val="single" w:color="000000" w:sz="4" w:space="0"/>
            </w:tcBorders>
            <w:noWrap w:val="0"/>
            <w:vAlign w:val="center"/>
          </w:tcPr>
          <w:p>
            <w:pPr>
              <w:spacing w:before="93" w:beforeLines="30" w:after="93" w:afterLines="30" w:line="312" w:lineRule="auto"/>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4.8.012</w:t>
            </w:r>
          </w:p>
        </w:tc>
      </w:tr>
      <w:tr>
        <w:tblPrEx>
          <w:tblCellMar>
            <w:top w:w="0" w:type="dxa"/>
            <w:left w:w="115" w:type="dxa"/>
            <w:bottom w:w="0" w:type="dxa"/>
            <w:right w:w="115" w:type="dxa"/>
          </w:tblCellMar>
        </w:tblPrEx>
        <w:trPr>
          <w:trHeight w:val="732" w:hRule="atLeast"/>
          <w:jc w:val="center"/>
        </w:trPr>
        <w:tc>
          <w:tcPr>
            <w:tcW w:w="552" w:type="pct"/>
            <w:tcBorders>
              <w:top w:val="single" w:color="000000" w:sz="4" w:space="0"/>
              <w:left w:val="single" w:color="000000" w:sz="4" w:space="0"/>
              <w:bottom w:val="single" w:color="000000" w:sz="4" w:space="0"/>
              <w:right w:val="single" w:color="000000" w:sz="4" w:space="0"/>
            </w:tcBorders>
            <w:noWrap w:val="0"/>
            <w:vAlign w:val="center"/>
          </w:tcPr>
          <w:p>
            <w:pPr>
              <w:spacing w:before="93" w:beforeLines="30" w:after="93" w:afterLines="30" w:line="312" w:lineRule="auto"/>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w:t>
            </w:r>
          </w:p>
        </w:tc>
        <w:tc>
          <w:tcPr>
            <w:tcW w:w="1749" w:type="pct"/>
            <w:tcBorders>
              <w:top w:val="single" w:color="000000" w:sz="4" w:space="0"/>
              <w:left w:val="single" w:color="000000" w:sz="4" w:space="0"/>
              <w:bottom w:val="single" w:color="000000" w:sz="4" w:space="0"/>
              <w:right w:val="single" w:color="000000" w:sz="4" w:space="0"/>
            </w:tcBorders>
            <w:noWrap w:val="0"/>
            <w:vAlign w:val="center"/>
          </w:tcPr>
          <w:p>
            <w:pPr>
              <w:spacing w:before="93" w:beforeLines="30" w:after="93" w:afterLines="30" w:line="312" w:lineRule="auto"/>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体检心电采集工作站</w:t>
            </w:r>
          </w:p>
        </w:tc>
        <w:tc>
          <w:tcPr>
            <w:tcW w:w="942" w:type="pct"/>
            <w:tcBorders>
              <w:top w:val="single" w:color="000000" w:sz="4" w:space="0"/>
              <w:left w:val="single" w:color="000000" w:sz="4" w:space="0"/>
              <w:bottom w:val="single" w:color="000000" w:sz="4" w:space="0"/>
              <w:right w:val="single" w:color="000000" w:sz="4" w:space="0"/>
            </w:tcBorders>
            <w:noWrap w:val="0"/>
            <w:vAlign w:val="center"/>
          </w:tcPr>
          <w:p>
            <w:pPr>
              <w:spacing w:before="93" w:beforeLines="30" w:after="93" w:afterLines="30" w:line="312" w:lineRule="auto"/>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MECG-200</w:t>
            </w:r>
          </w:p>
        </w:tc>
        <w:tc>
          <w:tcPr>
            <w:tcW w:w="942" w:type="pct"/>
            <w:tcBorders>
              <w:top w:val="single" w:color="000000" w:sz="4" w:space="0"/>
              <w:left w:val="single" w:color="000000" w:sz="4" w:space="0"/>
              <w:bottom w:val="single" w:color="000000" w:sz="4" w:space="0"/>
              <w:right w:val="single" w:color="000000" w:sz="4" w:space="0"/>
            </w:tcBorders>
            <w:noWrap w:val="0"/>
            <w:vAlign w:val="center"/>
          </w:tcPr>
          <w:p>
            <w:pPr>
              <w:spacing w:before="93" w:beforeLines="30" w:after="93" w:afterLines="30" w:line="312" w:lineRule="auto"/>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2套</w:t>
            </w:r>
          </w:p>
        </w:tc>
        <w:tc>
          <w:tcPr>
            <w:tcW w:w="813" w:type="pct"/>
            <w:tcBorders>
              <w:top w:val="single" w:color="000000" w:sz="4" w:space="0"/>
              <w:left w:val="single" w:color="000000" w:sz="4" w:space="0"/>
              <w:bottom w:val="single" w:color="000000" w:sz="4" w:space="0"/>
              <w:right w:val="single" w:color="000000" w:sz="4" w:space="0"/>
            </w:tcBorders>
            <w:noWrap w:val="0"/>
            <w:vAlign w:val="center"/>
          </w:tcPr>
          <w:p>
            <w:pPr>
              <w:spacing w:before="93" w:beforeLines="30" w:after="93" w:afterLines="30" w:line="312" w:lineRule="auto"/>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4.8.012</w:t>
            </w:r>
          </w:p>
        </w:tc>
      </w:tr>
      <w:tr>
        <w:tblPrEx>
          <w:tblCellMar>
            <w:top w:w="0" w:type="dxa"/>
            <w:left w:w="115" w:type="dxa"/>
            <w:bottom w:w="0" w:type="dxa"/>
            <w:right w:w="115" w:type="dxa"/>
          </w:tblCellMar>
        </w:tblPrEx>
        <w:trPr>
          <w:trHeight w:val="732" w:hRule="atLeast"/>
          <w:jc w:val="center"/>
        </w:trPr>
        <w:tc>
          <w:tcPr>
            <w:tcW w:w="552" w:type="pct"/>
            <w:tcBorders>
              <w:top w:val="single" w:color="000000" w:sz="4" w:space="0"/>
              <w:left w:val="single" w:color="000000" w:sz="4" w:space="0"/>
              <w:bottom w:val="single" w:color="000000" w:sz="4" w:space="0"/>
              <w:right w:val="single" w:color="000000" w:sz="4" w:space="0"/>
            </w:tcBorders>
            <w:noWrap w:val="0"/>
            <w:vAlign w:val="center"/>
          </w:tcPr>
          <w:p>
            <w:pPr>
              <w:spacing w:before="93" w:beforeLines="30" w:after="93" w:afterLines="30" w:line="312" w:lineRule="auto"/>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4</w:t>
            </w:r>
          </w:p>
        </w:tc>
        <w:tc>
          <w:tcPr>
            <w:tcW w:w="1749" w:type="pct"/>
            <w:tcBorders>
              <w:top w:val="single" w:color="000000" w:sz="4" w:space="0"/>
              <w:left w:val="single" w:color="000000" w:sz="4" w:space="0"/>
              <w:bottom w:val="single" w:color="000000" w:sz="4" w:space="0"/>
              <w:right w:val="single" w:color="000000" w:sz="4" w:space="0"/>
            </w:tcBorders>
            <w:noWrap w:val="0"/>
            <w:vAlign w:val="center"/>
          </w:tcPr>
          <w:p>
            <w:pPr>
              <w:spacing w:before="93" w:beforeLines="30" w:after="93" w:afterLines="30" w:line="312" w:lineRule="auto"/>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临床Web浏览系统</w:t>
            </w:r>
          </w:p>
        </w:tc>
        <w:tc>
          <w:tcPr>
            <w:tcW w:w="942" w:type="pct"/>
            <w:tcBorders>
              <w:top w:val="single" w:color="000000" w:sz="4" w:space="0"/>
              <w:left w:val="single" w:color="000000" w:sz="4" w:space="0"/>
              <w:bottom w:val="single" w:color="000000" w:sz="4" w:space="0"/>
              <w:right w:val="single" w:color="000000" w:sz="4" w:space="0"/>
            </w:tcBorders>
            <w:noWrap w:val="0"/>
            <w:vAlign w:val="center"/>
          </w:tcPr>
          <w:p>
            <w:pPr>
              <w:spacing w:before="93" w:beforeLines="30" w:after="93" w:afterLines="30" w:line="312" w:lineRule="auto"/>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MEMRS-ECG</w:t>
            </w:r>
          </w:p>
        </w:tc>
        <w:tc>
          <w:tcPr>
            <w:tcW w:w="942" w:type="pct"/>
            <w:tcBorders>
              <w:top w:val="single" w:color="000000" w:sz="4" w:space="0"/>
              <w:left w:val="single" w:color="000000" w:sz="4" w:space="0"/>
              <w:bottom w:val="single" w:color="000000" w:sz="4" w:space="0"/>
              <w:right w:val="single" w:color="000000" w:sz="4" w:space="0"/>
            </w:tcBorders>
            <w:noWrap w:val="0"/>
            <w:vAlign w:val="center"/>
          </w:tcPr>
          <w:p>
            <w:pPr>
              <w:spacing w:before="93" w:beforeLines="30" w:after="93" w:afterLines="30" w:line="312" w:lineRule="auto"/>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1套</w:t>
            </w:r>
          </w:p>
        </w:tc>
        <w:tc>
          <w:tcPr>
            <w:tcW w:w="813" w:type="pct"/>
            <w:tcBorders>
              <w:top w:val="single" w:color="000000" w:sz="4" w:space="0"/>
              <w:left w:val="single" w:color="000000" w:sz="4" w:space="0"/>
              <w:bottom w:val="single" w:color="000000" w:sz="4" w:space="0"/>
              <w:right w:val="single" w:color="000000" w:sz="4" w:space="0"/>
            </w:tcBorders>
            <w:noWrap w:val="0"/>
            <w:vAlign w:val="center"/>
          </w:tcPr>
          <w:p>
            <w:pPr>
              <w:spacing w:before="93" w:beforeLines="30" w:after="93" w:afterLines="30" w:line="312" w:lineRule="auto"/>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4.8.012</w:t>
            </w:r>
          </w:p>
        </w:tc>
      </w:tr>
      <w:tr>
        <w:tblPrEx>
          <w:tblCellMar>
            <w:top w:w="0" w:type="dxa"/>
            <w:left w:w="115" w:type="dxa"/>
            <w:bottom w:w="0" w:type="dxa"/>
            <w:right w:w="115" w:type="dxa"/>
          </w:tblCellMar>
        </w:tblPrEx>
        <w:trPr>
          <w:trHeight w:val="752" w:hRule="atLeast"/>
          <w:jc w:val="center"/>
        </w:trPr>
        <w:tc>
          <w:tcPr>
            <w:tcW w:w="552" w:type="pct"/>
            <w:tcBorders>
              <w:top w:val="single" w:color="000000" w:sz="4" w:space="0"/>
              <w:left w:val="single" w:color="000000" w:sz="4" w:space="0"/>
              <w:bottom w:val="single" w:color="000000" w:sz="4" w:space="0"/>
              <w:right w:val="single" w:color="000000" w:sz="4" w:space="0"/>
            </w:tcBorders>
            <w:noWrap w:val="0"/>
            <w:vAlign w:val="center"/>
          </w:tcPr>
          <w:p>
            <w:pPr>
              <w:spacing w:before="93" w:beforeLines="30" w:after="93" w:afterLines="30" w:line="312" w:lineRule="auto"/>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5</w:t>
            </w:r>
          </w:p>
        </w:tc>
        <w:tc>
          <w:tcPr>
            <w:tcW w:w="1749" w:type="pct"/>
            <w:tcBorders>
              <w:top w:val="single" w:color="000000" w:sz="4" w:space="0"/>
              <w:left w:val="single" w:color="000000" w:sz="4" w:space="0"/>
              <w:bottom w:val="single" w:color="000000" w:sz="4" w:space="0"/>
              <w:right w:val="single" w:color="000000" w:sz="4" w:space="0"/>
            </w:tcBorders>
            <w:noWrap w:val="0"/>
            <w:vAlign w:val="center"/>
          </w:tcPr>
          <w:p>
            <w:pPr>
              <w:spacing w:before="93" w:beforeLines="30" w:after="93" w:afterLines="30" w:line="312" w:lineRule="auto"/>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主任管理系统</w:t>
            </w:r>
          </w:p>
        </w:tc>
        <w:tc>
          <w:tcPr>
            <w:tcW w:w="942" w:type="pct"/>
            <w:tcBorders>
              <w:top w:val="single" w:color="000000" w:sz="4" w:space="0"/>
              <w:left w:val="single" w:color="000000" w:sz="4" w:space="0"/>
              <w:bottom w:val="single" w:color="000000" w:sz="4" w:space="0"/>
              <w:right w:val="single" w:color="000000" w:sz="4" w:space="0"/>
            </w:tcBorders>
            <w:noWrap w:val="0"/>
            <w:vAlign w:val="center"/>
          </w:tcPr>
          <w:p>
            <w:pPr>
              <w:spacing w:before="93" w:beforeLines="30" w:after="93" w:afterLines="30" w:line="312" w:lineRule="auto"/>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MEMRS-ECG</w:t>
            </w:r>
          </w:p>
        </w:tc>
        <w:tc>
          <w:tcPr>
            <w:tcW w:w="942" w:type="pct"/>
            <w:tcBorders>
              <w:top w:val="single" w:color="000000" w:sz="4" w:space="0"/>
              <w:left w:val="single" w:color="000000" w:sz="4" w:space="0"/>
              <w:bottom w:val="single" w:color="000000" w:sz="4" w:space="0"/>
              <w:right w:val="single" w:color="000000" w:sz="4" w:space="0"/>
            </w:tcBorders>
            <w:noWrap w:val="0"/>
            <w:vAlign w:val="center"/>
          </w:tcPr>
          <w:p>
            <w:pPr>
              <w:spacing w:before="93" w:beforeLines="30" w:after="93" w:afterLines="30" w:line="312" w:lineRule="auto"/>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1套</w:t>
            </w:r>
          </w:p>
        </w:tc>
        <w:tc>
          <w:tcPr>
            <w:tcW w:w="813" w:type="pct"/>
            <w:tcBorders>
              <w:top w:val="single" w:color="000000" w:sz="4" w:space="0"/>
              <w:left w:val="single" w:color="000000" w:sz="4" w:space="0"/>
              <w:bottom w:val="single" w:color="000000" w:sz="4" w:space="0"/>
              <w:right w:val="single" w:color="000000" w:sz="4" w:space="0"/>
            </w:tcBorders>
            <w:noWrap w:val="0"/>
            <w:vAlign w:val="center"/>
          </w:tcPr>
          <w:p>
            <w:pPr>
              <w:spacing w:before="93" w:beforeLines="30" w:after="93" w:afterLines="30" w:line="312" w:lineRule="auto"/>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4.8.012</w:t>
            </w:r>
          </w:p>
        </w:tc>
      </w:tr>
    </w:tbl>
    <w:p>
      <w:pPr>
        <w:widowControl/>
        <w:spacing w:line="400" w:lineRule="atLeast"/>
        <w:ind w:firstLine="48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表1.2-1 心电图数据分析管理系统升级及服务项目列表</w:t>
      </w:r>
    </w:p>
    <w:p>
      <w:pPr>
        <w:pStyle w:val="2"/>
        <w:ind w:left="0" w:leftChars="0" w:firstLine="480" w:firstLineChars="200"/>
        <w:rPr>
          <w:rFonts w:hint="eastAsia"/>
          <w:lang w:val="en-US" w:eastAsia="zh-CN"/>
        </w:rPr>
      </w:pPr>
      <w:r>
        <w:rPr>
          <w:rFonts w:hint="eastAsia" w:ascii="宋体" w:hAnsi="宋体" w:eastAsia="宋体" w:cs="宋体"/>
          <w:sz w:val="24"/>
          <w:lang w:val="en-US" w:eastAsia="zh-CN"/>
        </w:rPr>
        <w:t>历年我院在医疗信息化工作中，由</w:t>
      </w:r>
      <w:r>
        <w:rPr>
          <w:rFonts w:hint="eastAsia" w:ascii="宋体" w:hAnsi="宋体" w:eastAsia="宋体" w:cs="宋体"/>
          <w:color w:val="auto"/>
          <w:sz w:val="24"/>
          <w:highlight w:val="none"/>
          <w:u w:val="none"/>
          <w:lang w:val="en-US" w:eastAsia="zh-CN"/>
        </w:rPr>
        <w:t>北京麦迪克斯科技有限公司</w:t>
      </w:r>
      <w:r>
        <w:rPr>
          <w:rFonts w:hint="eastAsia" w:ascii="宋体" w:hAnsi="宋体" w:eastAsia="宋体" w:cs="宋体"/>
          <w:sz w:val="24"/>
          <w:highlight w:val="none"/>
          <w:lang w:val="en-US" w:eastAsia="zh-CN"/>
        </w:rPr>
        <w:t>承建的信息系统（含数据库），主要包含</w:t>
      </w:r>
      <w:r>
        <w:rPr>
          <w:rFonts w:hint="eastAsia" w:ascii="宋体" w:hAnsi="宋体" w:eastAsia="宋体" w:cs="宋体"/>
          <w:sz w:val="24"/>
          <w:szCs w:val="24"/>
          <w:lang w:val="en-US" w:eastAsia="zh-CN" w:bidi="ar-SA"/>
        </w:rPr>
        <w:t>便携式心电检查仪</w:t>
      </w:r>
      <w:r>
        <w:rPr>
          <w:rFonts w:hint="eastAsia" w:ascii="宋体" w:hAnsi="宋体" w:eastAsia="宋体" w:cs="宋体"/>
          <w:sz w:val="24"/>
          <w:highlight w:val="none"/>
          <w:lang w:val="en-US" w:eastAsia="zh-CN"/>
        </w:rPr>
        <w:t>（型号：</w:t>
      </w:r>
      <w:r>
        <w:rPr>
          <w:rFonts w:hint="eastAsia" w:ascii="宋体" w:hAnsi="宋体" w:eastAsia="宋体" w:cs="宋体"/>
          <w:sz w:val="24"/>
          <w:szCs w:val="24"/>
          <w:lang w:val="en-US" w:eastAsia="zh-CN" w:bidi="ar-SA"/>
        </w:rPr>
        <w:t>MECG-300，</w:t>
      </w:r>
      <w:r>
        <w:rPr>
          <w:rFonts w:hint="eastAsia" w:ascii="宋体" w:hAnsi="宋体" w:eastAsia="宋体" w:cs="宋体"/>
          <w:sz w:val="24"/>
          <w:highlight w:val="none"/>
          <w:lang w:val="en-US" w:eastAsia="zh-CN"/>
        </w:rPr>
        <w:t>版本号：</w:t>
      </w:r>
      <w:r>
        <w:rPr>
          <w:rFonts w:hint="eastAsia" w:ascii="宋体" w:hAnsi="宋体" w:eastAsia="宋体" w:cs="宋体"/>
          <w:sz w:val="24"/>
          <w:szCs w:val="24"/>
          <w:lang w:val="en-US" w:eastAsia="zh-CN" w:bidi="ar-SA"/>
        </w:rPr>
        <w:t>4.8.012</w:t>
      </w:r>
      <w:r>
        <w:rPr>
          <w:rFonts w:hint="eastAsia" w:ascii="宋体" w:hAnsi="宋体" w:eastAsia="宋体" w:cs="宋体"/>
          <w:sz w:val="24"/>
          <w:highlight w:val="none"/>
          <w:lang w:val="en-US" w:eastAsia="zh-CN"/>
        </w:rPr>
        <w:t>）、</w:t>
      </w:r>
      <w:r>
        <w:rPr>
          <w:rFonts w:hint="eastAsia" w:ascii="宋体" w:hAnsi="宋体" w:eastAsia="宋体" w:cs="宋体"/>
          <w:sz w:val="24"/>
          <w:szCs w:val="24"/>
          <w:lang w:val="en-US" w:eastAsia="zh-CN" w:bidi="ar-SA"/>
        </w:rPr>
        <w:t>门诊心电采集工作站</w:t>
      </w:r>
      <w:r>
        <w:rPr>
          <w:rFonts w:hint="eastAsia" w:ascii="宋体" w:hAnsi="宋体" w:eastAsia="宋体" w:cs="宋体"/>
          <w:sz w:val="24"/>
          <w:highlight w:val="none"/>
          <w:lang w:val="en-US" w:eastAsia="zh-CN"/>
        </w:rPr>
        <w:t>（型号：</w:t>
      </w:r>
      <w:r>
        <w:rPr>
          <w:rFonts w:hint="eastAsia" w:ascii="宋体" w:hAnsi="宋体" w:eastAsia="宋体" w:cs="宋体"/>
          <w:sz w:val="24"/>
          <w:szCs w:val="24"/>
          <w:lang w:val="en-US" w:eastAsia="zh-CN" w:bidi="ar-SA"/>
        </w:rPr>
        <w:t>MECG-200，</w:t>
      </w:r>
      <w:r>
        <w:rPr>
          <w:rFonts w:hint="eastAsia" w:ascii="宋体" w:hAnsi="宋体" w:eastAsia="宋体" w:cs="宋体"/>
          <w:sz w:val="24"/>
          <w:highlight w:val="none"/>
          <w:lang w:val="en-US" w:eastAsia="zh-CN"/>
        </w:rPr>
        <w:t>版本号：</w:t>
      </w:r>
      <w:r>
        <w:rPr>
          <w:rFonts w:hint="eastAsia" w:ascii="宋体" w:hAnsi="宋体" w:eastAsia="宋体" w:cs="宋体"/>
          <w:sz w:val="24"/>
          <w:szCs w:val="24"/>
          <w:lang w:val="en-US" w:eastAsia="zh-CN" w:bidi="ar-SA"/>
        </w:rPr>
        <w:t>4.8.012</w:t>
      </w:r>
      <w:r>
        <w:rPr>
          <w:rFonts w:hint="eastAsia" w:ascii="宋体" w:hAnsi="宋体" w:eastAsia="宋体" w:cs="宋体"/>
          <w:sz w:val="24"/>
          <w:highlight w:val="none"/>
          <w:lang w:val="en-US" w:eastAsia="zh-CN"/>
        </w:rPr>
        <w:t>）、</w:t>
      </w:r>
      <w:r>
        <w:rPr>
          <w:rFonts w:hint="eastAsia" w:ascii="宋体" w:hAnsi="宋体" w:eastAsia="宋体" w:cs="宋体"/>
          <w:sz w:val="24"/>
          <w:szCs w:val="24"/>
          <w:lang w:val="en-US" w:eastAsia="zh-CN" w:bidi="ar-SA"/>
        </w:rPr>
        <w:t>体检心电采集工作站</w:t>
      </w:r>
      <w:r>
        <w:rPr>
          <w:rFonts w:hint="eastAsia" w:ascii="宋体" w:hAnsi="宋体" w:eastAsia="宋体" w:cs="宋体"/>
          <w:sz w:val="24"/>
          <w:highlight w:val="none"/>
          <w:lang w:val="en-US" w:eastAsia="zh-CN"/>
        </w:rPr>
        <w:t>（型号：</w:t>
      </w:r>
      <w:r>
        <w:rPr>
          <w:rFonts w:hint="eastAsia" w:ascii="宋体" w:hAnsi="宋体" w:eastAsia="宋体" w:cs="宋体"/>
          <w:sz w:val="24"/>
          <w:szCs w:val="24"/>
          <w:lang w:val="en-US" w:eastAsia="zh-CN" w:bidi="ar-SA"/>
        </w:rPr>
        <w:t>MECG-200，</w:t>
      </w:r>
      <w:r>
        <w:rPr>
          <w:rFonts w:hint="eastAsia" w:ascii="宋体" w:hAnsi="宋体" w:eastAsia="宋体" w:cs="宋体"/>
          <w:sz w:val="24"/>
          <w:highlight w:val="none"/>
          <w:lang w:val="en-US" w:eastAsia="zh-CN"/>
        </w:rPr>
        <w:t>版本号：</w:t>
      </w:r>
      <w:r>
        <w:rPr>
          <w:rFonts w:hint="eastAsia" w:ascii="宋体" w:hAnsi="宋体" w:eastAsia="宋体" w:cs="宋体"/>
          <w:sz w:val="24"/>
          <w:szCs w:val="24"/>
          <w:lang w:val="en-US" w:eastAsia="zh-CN" w:bidi="ar-SA"/>
        </w:rPr>
        <w:t>4.8.012</w:t>
      </w:r>
      <w:r>
        <w:rPr>
          <w:rFonts w:hint="eastAsia" w:ascii="宋体" w:hAnsi="宋体" w:eastAsia="宋体" w:cs="宋体"/>
          <w:sz w:val="24"/>
          <w:highlight w:val="none"/>
          <w:lang w:val="en-US" w:eastAsia="zh-CN"/>
        </w:rPr>
        <w:t>）、</w:t>
      </w:r>
      <w:r>
        <w:rPr>
          <w:rFonts w:hint="eastAsia" w:ascii="宋体" w:hAnsi="宋体" w:eastAsia="宋体" w:cs="宋体"/>
          <w:sz w:val="24"/>
          <w:szCs w:val="24"/>
          <w:lang w:val="en-US" w:eastAsia="zh-CN" w:bidi="ar-SA"/>
        </w:rPr>
        <w:t>临床Web浏览系统</w:t>
      </w:r>
      <w:r>
        <w:rPr>
          <w:rFonts w:hint="eastAsia" w:ascii="宋体" w:hAnsi="宋体" w:eastAsia="宋体" w:cs="宋体"/>
          <w:sz w:val="24"/>
          <w:highlight w:val="none"/>
          <w:lang w:val="en-US" w:eastAsia="zh-CN"/>
        </w:rPr>
        <w:t>（型号：</w:t>
      </w:r>
      <w:r>
        <w:rPr>
          <w:rFonts w:hint="eastAsia" w:ascii="宋体" w:hAnsi="宋体" w:eastAsia="宋体" w:cs="宋体"/>
          <w:sz w:val="24"/>
          <w:szCs w:val="24"/>
          <w:lang w:val="en-US" w:eastAsia="zh-CN" w:bidi="ar-SA"/>
        </w:rPr>
        <w:t>MEMRS-ECG，</w:t>
      </w:r>
      <w:r>
        <w:rPr>
          <w:rFonts w:hint="eastAsia" w:ascii="宋体" w:hAnsi="宋体" w:eastAsia="宋体" w:cs="宋体"/>
          <w:sz w:val="24"/>
          <w:highlight w:val="none"/>
          <w:lang w:val="en-US" w:eastAsia="zh-CN"/>
        </w:rPr>
        <w:t>版本号：</w:t>
      </w:r>
      <w:r>
        <w:rPr>
          <w:rFonts w:hint="eastAsia" w:ascii="宋体" w:hAnsi="宋体" w:eastAsia="宋体" w:cs="宋体"/>
          <w:sz w:val="24"/>
          <w:szCs w:val="24"/>
          <w:lang w:val="en-US" w:eastAsia="zh-CN" w:bidi="ar-SA"/>
        </w:rPr>
        <w:t>4.8.012</w:t>
      </w:r>
      <w:r>
        <w:rPr>
          <w:rFonts w:hint="eastAsia" w:ascii="宋体" w:hAnsi="宋体" w:eastAsia="宋体" w:cs="宋体"/>
          <w:sz w:val="24"/>
          <w:highlight w:val="none"/>
          <w:lang w:val="en-US" w:eastAsia="zh-CN"/>
        </w:rPr>
        <w:t>）</w:t>
      </w:r>
      <w:r>
        <w:rPr>
          <w:rFonts w:hint="eastAsia" w:ascii="宋体" w:hAnsi="宋体" w:eastAsia="宋体" w:cs="宋体"/>
          <w:sz w:val="24"/>
          <w:szCs w:val="24"/>
          <w:lang w:val="en-US" w:eastAsia="zh-CN" w:bidi="ar-SA"/>
        </w:rPr>
        <w:t>、主任管理系统</w:t>
      </w:r>
      <w:r>
        <w:rPr>
          <w:rFonts w:hint="eastAsia" w:ascii="宋体" w:hAnsi="宋体" w:eastAsia="宋体" w:cs="宋体"/>
          <w:sz w:val="24"/>
          <w:highlight w:val="none"/>
          <w:lang w:val="en-US" w:eastAsia="zh-CN"/>
        </w:rPr>
        <w:t>（型号：</w:t>
      </w:r>
      <w:r>
        <w:rPr>
          <w:rFonts w:hint="eastAsia" w:ascii="宋体" w:hAnsi="宋体" w:eastAsia="宋体" w:cs="宋体"/>
          <w:sz w:val="24"/>
          <w:szCs w:val="24"/>
          <w:lang w:val="en-US" w:eastAsia="zh-CN" w:bidi="ar-SA"/>
        </w:rPr>
        <w:t>MEMRS-ECG，</w:t>
      </w:r>
      <w:r>
        <w:rPr>
          <w:rFonts w:hint="eastAsia" w:ascii="宋体" w:hAnsi="宋体" w:eastAsia="宋体" w:cs="宋体"/>
          <w:sz w:val="24"/>
          <w:highlight w:val="none"/>
          <w:lang w:val="en-US" w:eastAsia="zh-CN"/>
        </w:rPr>
        <w:t>版本号：</w:t>
      </w:r>
      <w:r>
        <w:rPr>
          <w:rFonts w:hint="eastAsia" w:ascii="宋体" w:hAnsi="宋体" w:eastAsia="宋体" w:cs="宋体"/>
          <w:sz w:val="24"/>
          <w:szCs w:val="24"/>
          <w:lang w:val="en-US" w:eastAsia="zh-CN" w:bidi="ar-SA"/>
        </w:rPr>
        <w:t>4.8.012</w:t>
      </w:r>
      <w:r>
        <w:rPr>
          <w:rFonts w:hint="eastAsia" w:ascii="宋体" w:hAnsi="宋体" w:eastAsia="宋体" w:cs="宋体"/>
          <w:sz w:val="24"/>
          <w:highlight w:val="none"/>
          <w:lang w:val="en-US" w:eastAsia="zh-CN"/>
        </w:rPr>
        <w:t>）</w:t>
      </w:r>
      <w:r>
        <w:rPr>
          <w:rFonts w:hint="eastAsia" w:ascii="宋体" w:hAnsi="宋体" w:eastAsia="宋体" w:cs="宋体"/>
          <w:sz w:val="24"/>
          <w:lang w:val="en-US" w:eastAsia="zh-CN"/>
        </w:rPr>
        <w:t>等信息系统及其衍生的各类接口，包括：医院信息化建设规划建议、现有系统及其衍生的各类接口的开发、维护和管理等。</w:t>
      </w:r>
    </w:p>
    <w:p>
      <w:pPr>
        <w:keepNext w:val="0"/>
        <w:keepLines w:val="0"/>
        <w:pageBreakBefore w:val="0"/>
        <w:widowControl/>
        <w:numPr>
          <w:ilvl w:val="0"/>
          <w:numId w:val="2"/>
        </w:numPr>
        <w:kinsoku/>
        <w:wordWrap/>
        <w:overflowPunct/>
        <w:topLinePunct w:val="0"/>
        <w:autoSpaceDE/>
        <w:autoSpaceDN/>
        <w:bidi w:val="0"/>
        <w:adjustRightInd/>
        <w:snapToGrid/>
        <w:spacing w:after="0" w:line="400" w:lineRule="atLeast"/>
        <w:ind w:left="0" w:leftChars="0" w:firstLine="400" w:firstLineChars="0"/>
        <w:jc w:val="left"/>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电话技术服务：7×24，365天服务，服务时间24小时，医院可通过技术服务热线获得技术支持响应。</w:t>
      </w:r>
    </w:p>
    <w:p>
      <w:pPr>
        <w:keepNext w:val="0"/>
        <w:keepLines w:val="0"/>
        <w:pageBreakBefore w:val="0"/>
        <w:widowControl/>
        <w:numPr>
          <w:ilvl w:val="0"/>
          <w:numId w:val="2"/>
        </w:numPr>
        <w:kinsoku/>
        <w:wordWrap/>
        <w:overflowPunct/>
        <w:topLinePunct w:val="0"/>
        <w:autoSpaceDE/>
        <w:autoSpaceDN/>
        <w:bidi w:val="0"/>
        <w:adjustRightInd/>
        <w:snapToGrid/>
        <w:spacing w:after="0" w:line="400" w:lineRule="atLeast"/>
        <w:ind w:left="0" w:leftChars="0" w:firstLine="400" w:firstLineChars="0"/>
        <w:jc w:val="left"/>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远程技术服务：7×12，365天服务，服务时间12小时，包括电话、微信、QQ或邮箱远程协助。</w:t>
      </w:r>
    </w:p>
    <w:p>
      <w:pPr>
        <w:keepNext w:val="0"/>
        <w:keepLines w:val="0"/>
        <w:pageBreakBefore w:val="0"/>
        <w:widowControl/>
        <w:numPr>
          <w:ilvl w:val="0"/>
          <w:numId w:val="2"/>
        </w:numPr>
        <w:kinsoku/>
        <w:wordWrap/>
        <w:overflowPunct/>
        <w:topLinePunct w:val="0"/>
        <w:autoSpaceDE/>
        <w:autoSpaceDN/>
        <w:bidi w:val="0"/>
        <w:adjustRightInd/>
        <w:snapToGrid/>
        <w:spacing w:after="0" w:line="400" w:lineRule="atLeast"/>
        <w:ind w:left="0" w:leftChars="0" w:firstLine="400" w:firstLineChars="0"/>
        <w:jc w:val="left"/>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现场维修服务：提供报修当日2小时内抵达现场服务，利用有关工具和测试设备，检测问题所在，并及时提出解决方案，对系统所有故障问题进行现场测试和恢复。</w:t>
      </w:r>
    </w:p>
    <w:p>
      <w:pPr>
        <w:keepNext w:val="0"/>
        <w:keepLines w:val="0"/>
        <w:pageBreakBefore w:val="0"/>
        <w:widowControl/>
        <w:numPr>
          <w:ilvl w:val="0"/>
          <w:numId w:val="2"/>
        </w:numPr>
        <w:kinsoku/>
        <w:wordWrap/>
        <w:overflowPunct/>
        <w:topLinePunct w:val="0"/>
        <w:autoSpaceDE/>
        <w:autoSpaceDN/>
        <w:bidi w:val="0"/>
        <w:adjustRightInd/>
        <w:snapToGrid/>
        <w:spacing w:after="0" w:line="400" w:lineRule="atLeast"/>
        <w:ind w:left="0" w:leftChars="0" w:firstLine="400" w:firstLineChars="0"/>
        <w:jc w:val="left"/>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定期巡检服务：要求乙方每个季度派工程师对系统进行巡检，并现场对系统进行测试及优化，及时发现系统存在的故障或潜在的问题，提早消除故障隐患，确保系统安全、稳定、高效地运行。每个季度向甲方统计信息科提交一份维护、巡检及工作报告。</w:t>
      </w:r>
    </w:p>
    <w:p>
      <w:pPr>
        <w:keepNext w:val="0"/>
        <w:keepLines w:val="0"/>
        <w:pageBreakBefore w:val="0"/>
        <w:widowControl/>
        <w:numPr>
          <w:ilvl w:val="0"/>
          <w:numId w:val="2"/>
        </w:numPr>
        <w:kinsoku/>
        <w:wordWrap/>
        <w:overflowPunct/>
        <w:topLinePunct w:val="0"/>
        <w:autoSpaceDE/>
        <w:autoSpaceDN/>
        <w:bidi w:val="0"/>
        <w:adjustRightInd/>
        <w:snapToGrid/>
        <w:spacing w:after="0" w:line="400" w:lineRule="atLeast"/>
        <w:ind w:left="0" w:leftChars="0" w:firstLine="400" w:firstLineChars="0"/>
        <w:jc w:val="left"/>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定期走访服务：每季度由乙方人员到现场，了解产品的质量、服务问题，调查实施和维护情况，听取甲方意见，现场帮助甲方解决实际应用中的问题，及时协调乙方各部门的分工协作以期提供全面的服务与支持。</w:t>
      </w:r>
    </w:p>
    <w:p>
      <w:pPr>
        <w:keepNext w:val="0"/>
        <w:keepLines w:val="0"/>
        <w:pageBreakBefore w:val="0"/>
        <w:widowControl/>
        <w:numPr>
          <w:ilvl w:val="0"/>
          <w:numId w:val="2"/>
        </w:numPr>
        <w:kinsoku/>
        <w:wordWrap/>
        <w:overflowPunct/>
        <w:topLinePunct w:val="0"/>
        <w:autoSpaceDE/>
        <w:autoSpaceDN/>
        <w:bidi w:val="0"/>
        <w:adjustRightInd/>
        <w:snapToGrid/>
        <w:spacing w:after="0" w:line="400" w:lineRule="atLeast"/>
        <w:ind w:left="0" w:leftChars="0" w:firstLine="400" w:firstLineChars="0"/>
        <w:jc w:val="left"/>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电话回访服务：对每一个报修请求，乙方回访专员进行电话回访，征询甲方需求的解决情况以及对服务的满意度情况，监督服务质量。</w:t>
      </w:r>
    </w:p>
    <w:p>
      <w:pPr>
        <w:keepNext w:val="0"/>
        <w:keepLines w:val="0"/>
        <w:pageBreakBefore w:val="0"/>
        <w:widowControl/>
        <w:numPr>
          <w:ilvl w:val="0"/>
          <w:numId w:val="2"/>
        </w:numPr>
        <w:kinsoku/>
        <w:wordWrap/>
        <w:overflowPunct/>
        <w:topLinePunct w:val="0"/>
        <w:autoSpaceDE/>
        <w:autoSpaceDN/>
        <w:bidi w:val="0"/>
        <w:adjustRightInd/>
        <w:snapToGrid/>
        <w:spacing w:after="0" w:line="400" w:lineRule="atLeast"/>
        <w:ind w:left="0" w:leftChars="0" w:firstLine="400" w:firstLineChars="0"/>
        <w:jc w:val="left"/>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备件（备货）服务。长期提供维修零部件，非人为原因造成的硬件损坏免费维修或配件更换，包括平板、26P导联线、放大器、Cabel延长线、台车轮子、电源适配器、导联夹子。如果维修时间超过一周，要求厂家提供备用设备以不影响医院开展工作，直到原设备维修好能正常使用为止，原设备自从设备处拿走后维修时间不超过18个自然日。</w:t>
      </w:r>
    </w:p>
    <w:p>
      <w:pPr>
        <w:keepNext w:val="0"/>
        <w:keepLines w:val="0"/>
        <w:pageBreakBefore w:val="0"/>
        <w:widowControl/>
        <w:numPr>
          <w:ilvl w:val="0"/>
          <w:numId w:val="2"/>
        </w:numPr>
        <w:kinsoku/>
        <w:wordWrap/>
        <w:overflowPunct/>
        <w:topLinePunct w:val="0"/>
        <w:autoSpaceDE/>
        <w:autoSpaceDN/>
        <w:bidi w:val="0"/>
        <w:adjustRightInd/>
        <w:snapToGrid/>
        <w:spacing w:after="0" w:line="400" w:lineRule="atLeast"/>
        <w:ind w:left="0" w:leftChars="0" w:firstLine="400" w:firstLineChars="0"/>
        <w:jc w:val="left"/>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软件注册服务：提供客户端硬件更换后，软件注册服务。</w:t>
      </w:r>
    </w:p>
    <w:p>
      <w:pPr>
        <w:keepNext w:val="0"/>
        <w:keepLines w:val="0"/>
        <w:pageBreakBefore w:val="0"/>
        <w:widowControl/>
        <w:numPr>
          <w:ilvl w:val="0"/>
          <w:numId w:val="2"/>
        </w:numPr>
        <w:kinsoku/>
        <w:wordWrap/>
        <w:overflowPunct/>
        <w:topLinePunct w:val="0"/>
        <w:autoSpaceDE/>
        <w:autoSpaceDN/>
        <w:bidi w:val="0"/>
        <w:adjustRightInd/>
        <w:snapToGrid/>
        <w:spacing w:after="0" w:line="400" w:lineRule="atLeast"/>
        <w:ind w:left="0" w:leftChars="0" w:firstLine="400" w:firstLineChars="0"/>
        <w:jc w:val="left"/>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INTERNET网络在线服务：通过访问网站免费下载软件、资料。</w:t>
      </w:r>
    </w:p>
    <w:p>
      <w:pPr>
        <w:keepNext w:val="0"/>
        <w:keepLines w:val="0"/>
        <w:pageBreakBefore w:val="0"/>
        <w:widowControl/>
        <w:numPr>
          <w:ilvl w:val="0"/>
          <w:numId w:val="2"/>
        </w:numPr>
        <w:kinsoku/>
        <w:wordWrap/>
        <w:overflowPunct/>
        <w:topLinePunct w:val="0"/>
        <w:autoSpaceDE/>
        <w:autoSpaceDN/>
        <w:bidi w:val="0"/>
        <w:adjustRightInd/>
        <w:snapToGrid/>
        <w:spacing w:after="0" w:line="400" w:lineRule="atLeast"/>
        <w:ind w:left="0" w:leftChars="0" w:firstLine="400" w:firstLineChars="0"/>
        <w:jc w:val="left"/>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乙方能提供符合院方要求的安全机制，确保本系统及所连接系统的数据安全并配合第三方测试。</w:t>
      </w:r>
    </w:p>
    <w:p>
      <w:pPr>
        <w:keepNext w:val="0"/>
        <w:keepLines w:val="0"/>
        <w:pageBreakBefore w:val="0"/>
        <w:widowControl/>
        <w:numPr>
          <w:ilvl w:val="0"/>
          <w:numId w:val="2"/>
        </w:numPr>
        <w:kinsoku/>
        <w:wordWrap/>
        <w:overflowPunct/>
        <w:topLinePunct w:val="0"/>
        <w:autoSpaceDE/>
        <w:autoSpaceDN/>
        <w:bidi w:val="0"/>
        <w:adjustRightInd/>
        <w:snapToGrid/>
        <w:spacing w:after="0" w:line="400" w:lineRule="atLeast"/>
        <w:ind w:left="0" w:leftChars="0" w:firstLine="400" w:firstLineChars="0"/>
        <w:jc w:val="left"/>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重大节假日前对所有软件及硬件设备进行巡检，并提供巡检报告。</w:t>
      </w:r>
    </w:p>
    <w:p>
      <w:pPr>
        <w:keepNext w:val="0"/>
        <w:keepLines w:val="0"/>
        <w:pageBreakBefore w:val="0"/>
        <w:widowControl/>
        <w:numPr>
          <w:ilvl w:val="0"/>
          <w:numId w:val="2"/>
        </w:numPr>
        <w:kinsoku/>
        <w:wordWrap/>
        <w:overflowPunct/>
        <w:topLinePunct w:val="0"/>
        <w:autoSpaceDE/>
        <w:autoSpaceDN/>
        <w:bidi w:val="0"/>
        <w:adjustRightInd/>
        <w:snapToGrid/>
        <w:spacing w:after="0" w:line="400" w:lineRule="atLeast"/>
        <w:ind w:left="0" w:leftChars="0" w:firstLine="400" w:firstLineChars="0"/>
        <w:jc w:val="left"/>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每半年出具半年度服务报告及服务汇总，并与甲方进行沟通、汇总汇报。</w:t>
      </w:r>
    </w:p>
    <w:p>
      <w:pPr>
        <w:keepNext w:val="0"/>
        <w:keepLines w:val="0"/>
        <w:pageBreakBefore w:val="0"/>
        <w:widowControl/>
        <w:numPr>
          <w:ilvl w:val="0"/>
          <w:numId w:val="2"/>
        </w:numPr>
        <w:kinsoku/>
        <w:wordWrap/>
        <w:overflowPunct/>
        <w:topLinePunct w:val="0"/>
        <w:autoSpaceDE/>
        <w:autoSpaceDN/>
        <w:bidi w:val="0"/>
        <w:adjustRightInd/>
        <w:snapToGrid/>
        <w:spacing w:after="0" w:line="400" w:lineRule="atLeast"/>
        <w:ind w:left="0" w:leftChars="0" w:firstLine="400" w:firstLineChars="0"/>
        <w:jc w:val="left"/>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针对非软件系统自身功能缺陷导致系统不能正常运行的情况（如服务器故障），乙方提供免费技术支持和服务，协助院方解决问题（如重装服务、数据迁移、数据恢复等）。</w:t>
      </w:r>
    </w:p>
    <w:p>
      <w:pPr>
        <w:keepNext w:val="0"/>
        <w:keepLines w:val="0"/>
        <w:pageBreakBefore w:val="0"/>
        <w:widowControl/>
        <w:numPr>
          <w:ilvl w:val="0"/>
          <w:numId w:val="2"/>
        </w:numPr>
        <w:kinsoku/>
        <w:wordWrap/>
        <w:overflowPunct/>
        <w:topLinePunct w:val="0"/>
        <w:autoSpaceDE/>
        <w:autoSpaceDN/>
        <w:bidi w:val="0"/>
        <w:adjustRightInd/>
        <w:snapToGrid/>
        <w:spacing w:after="0" w:line="400" w:lineRule="atLeast"/>
        <w:ind w:left="0" w:leftChars="0" w:firstLine="400" w:firstLineChars="0"/>
        <w:jc w:val="left"/>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培训服务，针对服务期间修改/升级的软件功能提供培训服务，乙方承诺对院方对接系统负责人员（至少2人）进行培训，使其能很好的掌握心电图数据分析管理系统的功能，并提供完备的用户使用手册、管理员使用手册等相关文档。</w:t>
      </w:r>
    </w:p>
    <w:p>
      <w:pPr>
        <w:keepNext w:val="0"/>
        <w:keepLines w:val="0"/>
        <w:pageBreakBefore w:val="0"/>
        <w:widowControl/>
        <w:numPr>
          <w:ilvl w:val="0"/>
          <w:numId w:val="2"/>
        </w:numPr>
        <w:kinsoku/>
        <w:wordWrap/>
        <w:overflowPunct/>
        <w:topLinePunct w:val="0"/>
        <w:autoSpaceDE/>
        <w:autoSpaceDN/>
        <w:bidi w:val="0"/>
        <w:adjustRightInd/>
        <w:snapToGrid/>
        <w:spacing w:after="0" w:line="400" w:lineRule="atLeast"/>
        <w:ind w:left="0" w:leftChars="0" w:firstLine="480" w:firstLineChars="200"/>
        <w:jc w:val="left"/>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提供具体维保服务人员名单，维保服务负责人须具有三年以上医院运维经验，以及良好的沟通协调能力。</w:t>
      </w:r>
    </w:p>
    <w:p>
      <w:pPr>
        <w:keepNext w:val="0"/>
        <w:keepLines w:val="0"/>
        <w:pageBreakBefore w:val="0"/>
        <w:widowControl/>
        <w:numPr>
          <w:ilvl w:val="0"/>
          <w:numId w:val="2"/>
        </w:numPr>
        <w:kinsoku/>
        <w:wordWrap/>
        <w:overflowPunct/>
        <w:topLinePunct w:val="0"/>
        <w:autoSpaceDE/>
        <w:autoSpaceDN/>
        <w:bidi w:val="0"/>
        <w:adjustRightInd/>
        <w:snapToGrid/>
        <w:spacing w:after="0" w:line="400" w:lineRule="atLeast"/>
        <w:ind w:left="0" w:leftChars="0" w:firstLine="480" w:firstLineChars="200"/>
        <w:jc w:val="left"/>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在维保期内经双方评估增加合同服务内容范围外工作量在10天内的需求，乙方免费做。</w:t>
      </w:r>
    </w:p>
    <w:p>
      <w:pPr>
        <w:keepNext w:val="0"/>
        <w:keepLines w:val="0"/>
        <w:pageBreakBefore w:val="0"/>
        <w:widowControl/>
        <w:numPr>
          <w:ilvl w:val="0"/>
          <w:numId w:val="2"/>
        </w:numPr>
        <w:kinsoku/>
        <w:wordWrap/>
        <w:overflowPunct/>
        <w:topLinePunct w:val="0"/>
        <w:autoSpaceDE/>
        <w:autoSpaceDN/>
        <w:bidi w:val="0"/>
        <w:adjustRightInd/>
        <w:snapToGrid/>
        <w:spacing w:after="0" w:line="400" w:lineRule="atLeast"/>
        <w:ind w:left="0" w:leftChars="0" w:firstLine="400" w:firstLineChars="0"/>
        <w:jc w:val="left"/>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建立完备的维护维修档案，对维护维修中故障、配件详细记录，由甲方统计信息科确认。</w:t>
      </w:r>
    </w:p>
    <w:p>
      <w:pPr>
        <w:keepNext w:val="0"/>
        <w:keepLines w:val="0"/>
        <w:pageBreakBefore w:val="0"/>
        <w:widowControl/>
        <w:numPr>
          <w:ilvl w:val="0"/>
          <w:numId w:val="2"/>
        </w:numPr>
        <w:kinsoku/>
        <w:wordWrap/>
        <w:overflowPunct/>
        <w:topLinePunct w:val="0"/>
        <w:autoSpaceDE/>
        <w:autoSpaceDN/>
        <w:bidi w:val="0"/>
        <w:adjustRightInd/>
        <w:snapToGrid/>
        <w:spacing w:after="0" w:line="400" w:lineRule="atLeast"/>
        <w:ind w:left="0" w:leftChars="0" w:firstLine="400" w:firstLineChars="0"/>
        <w:jc w:val="left"/>
        <w:textAlignment w:val="auto"/>
        <w:rPr>
          <w:rFonts w:hint="eastAsia" w:asciiTheme="minorEastAsia" w:hAnsiTheme="minorEastAsia" w:eastAsiaTheme="minorEastAsia" w:cstheme="minorEastAsia"/>
          <w:kern w:val="2"/>
          <w:sz w:val="24"/>
          <w:szCs w:val="24"/>
          <w:lang w:val="en-US" w:eastAsia="zh-CN"/>
        </w:rPr>
      </w:pPr>
      <w:r>
        <w:rPr>
          <w:rFonts w:hint="eastAsia" w:ascii="宋体" w:hAnsi="宋体" w:eastAsia="宋体" w:cs="宋体"/>
          <w:sz w:val="24"/>
          <w:szCs w:val="24"/>
          <w:lang w:val="en-US" w:eastAsia="zh-CN"/>
        </w:rPr>
        <w:t>与我院his系统完成对接，将患者心电图数据传输至his系统中，并在his系统中查看心电图图像。</w:t>
      </w:r>
    </w:p>
    <w:p>
      <w:pPr>
        <w:keepNext w:val="0"/>
        <w:keepLines w:val="0"/>
        <w:pageBreakBefore w:val="0"/>
        <w:widowControl/>
        <w:numPr>
          <w:ilvl w:val="0"/>
          <w:numId w:val="2"/>
        </w:numPr>
        <w:kinsoku/>
        <w:wordWrap/>
        <w:overflowPunct/>
        <w:topLinePunct w:val="0"/>
        <w:autoSpaceDE/>
        <w:autoSpaceDN/>
        <w:bidi w:val="0"/>
        <w:adjustRightInd/>
        <w:snapToGrid/>
        <w:spacing w:after="0" w:line="400" w:lineRule="atLeast"/>
        <w:ind w:left="0" w:leftChars="0" w:firstLine="400" w:firstLineChars="0"/>
        <w:jc w:val="left"/>
        <w:textAlignment w:val="auto"/>
        <w:rPr>
          <w:rFonts w:hint="eastAsia" w:asciiTheme="minorEastAsia" w:hAnsiTheme="minorEastAsia" w:eastAsiaTheme="minorEastAsia" w:cstheme="minorEastAsia"/>
          <w:kern w:val="2"/>
          <w:sz w:val="24"/>
          <w:szCs w:val="24"/>
          <w:lang w:val="en-US" w:eastAsia="zh-CN"/>
        </w:rPr>
      </w:pPr>
      <w:r>
        <w:rPr>
          <w:rFonts w:hint="eastAsia" w:ascii="宋体" w:hAnsi="宋体" w:eastAsia="宋体" w:cs="宋体"/>
          <w:sz w:val="24"/>
          <w:szCs w:val="24"/>
          <w:lang w:val="en-US" w:eastAsia="zh-CN"/>
        </w:rPr>
        <w:t>与我院集成平台患者统一视图对接，将心电图数据分析管理系统集成到患者统一视图中。</w:t>
      </w:r>
    </w:p>
    <w:p>
      <w:pPr>
        <w:keepNext w:val="0"/>
        <w:keepLines w:val="0"/>
        <w:pageBreakBefore w:val="0"/>
        <w:widowControl/>
        <w:numPr>
          <w:ilvl w:val="0"/>
          <w:numId w:val="2"/>
        </w:numPr>
        <w:kinsoku/>
        <w:wordWrap/>
        <w:overflowPunct/>
        <w:topLinePunct w:val="0"/>
        <w:autoSpaceDE/>
        <w:autoSpaceDN/>
        <w:bidi w:val="0"/>
        <w:adjustRightInd/>
        <w:snapToGrid/>
        <w:spacing w:after="0" w:line="400" w:lineRule="atLeast"/>
        <w:ind w:left="0" w:leftChars="0" w:firstLine="400"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实现危急值上报功能，并于我院质控平台对接。</w:t>
      </w:r>
    </w:p>
    <w:p>
      <w:pPr>
        <w:keepNext w:val="0"/>
        <w:keepLines w:val="0"/>
        <w:pageBreakBefore w:val="0"/>
        <w:widowControl/>
        <w:numPr>
          <w:ilvl w:val="0"/>
          <w:numId w:val="2"/>
        </w:numPr>
        <w:kinsoku/>
        <w:wordWrap/>
        <w:overflowPunct/>
        <w:topLinePunct w:val="0"/>
        <w:autoSpaceDE/>
        <w:autoSpaceDN/>
        <w:bidi w:val="0"/>
        <w:adjustRightInd/>
        <w:snapToGrid/>
        <w:spacing w:after="0" w:line="400" w:lineRule="atLeast"/>
        <w:ind w:left="0" w:leftChars="0" w:firstLine="400" w:firstLineChars="0"/>
        <w:jc w:val="left"/>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与我院CA数字电子签章系统对接。</w:t>
      </w:r>
    </w:p>
    <w:p>
      <w:pPr>
        <w:keepNext w:val="0"/>
        <w:keepLines w:val="0"/>
        <w:pageBreakBefore w:val="0"/>
        <w:widowControl/>
        <w:numPr>
          <w:ilvl w:val="0"/>
          <w:numId w:val="2"/>
        </w:numPr>
        <w:kinsoku/>
        <w:wordWrap/>
        <w:overflowPunct/>
        <w:topLinePunct w:val="0"/>
        <w:autoSpaceDE/>
        <w:autoSpaceDN/>
        <w:bidi w:val="0"/>
        <w:adjustRightInd/>
        <w:snapToGrid/>
        <w:spacing w:after="0" w:line="400" w:lineRule="atLeast"/>
        <w:ind w:left="0" w:leftChars="0" w:firstLine="400" w:firstLineChars="0"/>
        <w:jc w:val="left"/>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功能升级：</w:t>
      </w:r>
      <w:bookmarkStart w:id="18" w:name="_GoBack"/>
      <w:bookmarkEnd w:id="18"/>
    </w:p>
    <w:p>
      <w:pPr>
        <w:keepNext w:val="0"/>
        <w:keepLines w:val="0"/>
        <w:pageBreakBefore w:val="0"/>
        <w:widowControl/>
        <w:numPr>
          <w:ilvl w:val="0"/>
          <w:numId w:val="3"/>
        </w:numPr>
        <w:kinsoku/>
        <w:wordWrap/>
        <w:overflowPunct/>
        <w:topLinePunct w:val="0"/>
        <w:autoSpaceDE/>
        <w:autoSpaceDN/>
        <w:bidi w:val="0"/>
        <w:adjustRightInd/>
        <w:snapToGrid/>
        <w:spacing w:after="0" w:line="400" w:lineRule="atLeast"/>
        <w:ind w:left="0" w:leftChars="0" w:firstLine="403" w:firstLineChars="0"/>
        <w:jc w:val="left"/>
        <w:textAlignment w:val="auto"/>
        <w:rPr>
          <w:rFonts w:hint="eastAsia" w:ascii="宋体" w:hAnsi="宋体" w:eastAsia="宋体" w:cs="宋体"/>
          <w:kern w:val="2"/>
          <w:sz w:val="24"/>
          <w:szCs w:val="24"/>
        </w:rPr>
      </w:pPr>
      <w:r>
        <w:rPr>
          <w:rFonts w:hint="eastAsia" w:ascii="宋体" w:hAnsi="宋体" w:eastAsia="宋体" w:cs="宋体"/>
          <w:kern w:val="2"/>
          <w:sz w:val="24"/>
          <w:szCs w:val="24"/>
        </w:rPr>
        <w:t>提供复合波与选中心搏两种分析模式，医生可根据波形情况在分析诊断界面手动选择不同的分析模式；</w:t>
      </w:r>
    </w:p>
    <w:p>
      <w:pPr>
        <w:keepNext w:val="0"/>
        <w:keepLines w:val="0"/>
        <w:pageBreakBefore w:val="0"/>
        <w:widowControl/>
        <w:numPr>
          <w:ilvl w:val="0"/>
          <w:numId w:val="3"/>
        </w:numPr>
        <w:kinsoku/>
        <w:wordWrap/>
        <w:overflowPunct/>
        <w:topLinePunct w:val="0"/>
        <w:autoSpaceDE/>
        <w:autoSpaceDN/>
        <w:bidi w:val="0"/>
        <w:adjustRightInd/>
        <w:snapToGrid/>
        <w:spacing w:after="0" w:line="400" w:lineRule="atLeast"/>
        <w:ind w:left="0" w:leftChars="0" w:firstLine="403" w:firstLineChars="0"/>
        <w:jc w:val="left"/>
        <w:textAlignment w:val="auto"/>
        <w:rPr>
          <w:rFonts w:hint="eastAsia" w:ascii="宋体" w:hAnsi="宋体" w:eastAsia="宋体" w:cs="宋体"/>
          <w:kern w:val="2"/>
          <w:sz w:val="24"/>
          <w:szCs w:val="24"/>
        </w:rPr>
      </w:pPr>
      <w:r>
        <w:rPr>
          <w:rFonts w:hint="eastAsia" w:ascii="宋体" w:hAnsi="宋体" w:eastAsia="宋体" w:cs="宋体"/>
          <w:kern w:val="2"/>
          <w:sz w:val="24"/>
          <w:szCs w:val="24"/>
        </w:rPr>
        <w:t>具备AF房颤分析功能，医生可在分析诊断界面手动开启或取消房颤分析；</w:t>
      </w:r>
    </w:p>
    <w:p>
      <w:pPr>
        <w:keepNext w:val="0"/>
        <w:keepLines w:val="0"/>
        <w:pageBreakBefore w:val="0"/>
        <w:widowControl/>
        <w:numPr>
          <w:ilvl w:val="0"/>
          <w:numId w:val="3"/>
        </w:numPr>
        <w:kinsoku/>
        <w:wordWrap/>
        <w:overflowPunct/>
        <w:topLinePunct w:val="0"/>
        <w:autoSpaceDE/>
        <w:autoSpaceDN/>
        <w:bidi w:val="0"/>
        <w:adjustRightInd/>
        <w:snapToGrid/>
        <w:spacing w:after="0" w:line="400" w:lineRule="atLeast"/>
        <w:ind w:left="0" w:leftChars="0" w:firstLine="403" w:firstLineChars="0"/>
        <w:jc w:val="left"/>
        <w:textAlignment w:val="auto"/>
        <w:rPr>
          <w:rFonts w:hint="eastAsia" w:ascii="宋体" w:hAnsi="宋体" w:eastAsia="宋体" w:cs="宋体"/>
          <w:kern w:val="2"/>
          <w:sz w:val="24"/>
          <w:szCs w:val="24"/>
        </w:rPr>
      </w:pPr>
      <w:r>
        <w:rPr>
          <w:rFonts w:hint="eastAsia" w:ascii="宋体" w:hAnsi="宋体" w:eastAsia="宋体" w:cs="宋体"/>
          <w:kern w:val="2"/>
          <w:sz w:val="24"/>
          <w:szCs w:val="24"/>
        </w:rPr>
        <w:t>具备详细参数</w:t>
      </w:r>
      <w:r>
        <w:rPr>
          <w:rFonts w:hint="eastAsia" w:ascii="宋体" w:hAnsi="宋体" w:eastAsia="宋体" w:cs="宋体"/>
          <w:kern w:val="2"/>
          <w:sz w:val="24"/>
          <w:szCs w:val="24"/>
          <w:lang w:val="en-US" w:eastAsia="zh-CN"/>
        </w:rPr>
        <w:t>矩阵</w:t>
      </w:r>
      <w:r>
        <w:rPr>
          <w:rFonts w:hint="eastAsia" w:ascii="宋体" w:hAnsi="宋体" w:eastAsia="宋体" w:cs="宋体"/>
          <w:kern w:val="2"/>
          <w:sz w:val="24"/>
          <w:szCs w:val="24"/>
        </w:rPr>
        <w:t>，</w:t>
      </w:r>
      <w:r>
        <w:rPr>
          <w:rFonts w:hint="eastAsia" w:ascii="宋体" w:hAnsi="宋体" w:eastAsia="宋体" w:cs="宋体"/>
          <w:kern w:val="2"/>
          <w:sz w:val="24"/>
          <w:szCs w:val="24"/>
          <w:lang w:val="en-US" w:eastAsia="zh-CN"/>
        </w:rPr>
        <w:t>不少于200种测量参数值。</w:t>
      </w:r>
      <w:r>
        <w:rPr>
          <w:rFonts w:hint="eastAsia" w:ascii="宋体" w:hAnsi="宋体" w:eastAsia="宋体" w:cs="宋体"/>
          <w:kern w:val="2"/>
          <w:sz w:val="24"/>
          <w:szCs w:val="24"/>
        </w:rPr>
        <w:t xml:space="preserve"> </w:t>
      </w:r>
    </w:p>
    <w:p>
      <w:pPr>
        <w:keepNext w:val="0"/>
        <w:keepLines w:val="0"/>
        <w:pageBreakBefore w:val="0"/>
        <w:widowControl/>
        <w:numPr>
          <w:ilvl w:val="0"/>
          <w:numId w:val="3"/>
        </w:numPr>
        <w:kinsoku/>
        <w:wordWrap/>
        <w:overflowPunct/>
        <w:topLinePunct w:val="0"/>
        <w:autoSpaceDE/>
        <w:autoSpaceDN/>
        <w:bidi w:val="0"/>
        <w:adjustRightInd/>
        <w:snapToGrid/>
        <w:spacing w:after="0" w:line="400" w:lineRule="atLeast"/>
        <w:ind w:left="0" w:leftChars="0" w:firstLine="403" w:firstLineChars="0"/>
        <w:jc w:val="left"/>
        <w:textAlignment w:val="auto"/>
        <w:rPr>
          <w:rFonts w:hint="eastAsia" w:ascii="宋体" w:hAnsi="宋体" w:eastAsia="宋体" w:cs="宋体"/>
          <w:kern w:val="2"/>
          <w:sz w:val="24"/>
          <w:szCs w:val="24"/>
          <w:lang w:val="en-US" w:eastAsia="zh-CN"/>
        </w:rPr>
      </w:pPr>
      <w:r>
        <w:rPr>
          <w:rFonts w:hint="eastAsia" w:ascii="宋体" w:hAnsi="宋体" w:eastAsia="宋体" w:cs="宋体"/>
          <w:kern w:val="2"/>
          <w:sz w:val="24"/>
          <w:szCs w:val="24"/>
        </w:rPr>
        <w:t>具备微信分享功能，可在进行心电图诊断分析时直接将该份病历的原始心电波形分享至微信群或专家微信，并支持在微信端打开心电原始波形，进行走纸速度、灵敏度、显示模式的调整，及查看心电报告；</w:t>
      </w:r>
    </w:p>
    <w:p>
      <w:pPr>
        <w:keepNext w:val="0"/>
        <w:keepLines w:val="0"/>
        <w:pageBreakBefore w:val="0"/>
        <w:widowControl/>
        <w:numPr>
          <w:ilvl w:val="0"/>
          <w:numId w:val="3"/>
        </w:numPr>
        <w:kinsoku/>
        <w:wordWrap/>
        <w:overflowPunct/>
        <w:topLinePunct w:val="0"/>
        <w:autoSpaceDE/>
        <w:autoSpaceDN/>
        <w:bidi w:val="0"/>
        <w:adjustRightInd/>
        <w:snapToGrid/>
        <w:spacing w:after="0" w:line="400" w:lineRule="atLeast"/>
        <w:ind w:left="0" w:leftChars="0" w:firstLine="403" w:firstLineChars="0"/>
        <w:jc w:val="left"/>
        <w:textAlignment w:val="auto"/>
        <w:rPr>
          <w:rFonts w:hint="eastAsia" w:ascii="宋体" w:hAnsi="宋体" w:eastAsia="宋体" w:cs="宋体"/>
          <w:kern w:val="2"/>
          <w:sz w:val="24"/>
          <w:szCs w:val="24"/>
        </w:rPr>
      </w:pPr>
      <w:r>
        <w:rPr>
          <w:rFonts w:hint="eastAsia" w:ascii="宋体" w:hAnsi="宋体" w:eastAsia="宋体" w:cs="宋体"/>
          <w:kern w:val="2"/>
          <w:sz w:val="24"/>
          <w:szCs w:val="24"/>
        </w:rPr>
        <w:t>具备报告记录功能，可详细查看每一个医生对本份病历的每一次操作及报告修改记录，并查看操作人、操作时间及修改具备内容；</w:t>
      </w:r>
    </w:p>
    <w:p>
      <w:pPr>
        <w:keepNext w:val="0"/>
        <w:keepLines w:val="0"/>
        <w:pageBreakBefore w:val="0"/>
        <w:widowControl/>
        <w:numPr>
          <w:ilvl w:val="0"/>
          <w:numId w:val="3"/>
        </w:numPr>
        <w:kinsoku/>
        <w:wordWrap/>
        <w:overflowPunct/>
        <w:topLinePunct w:val="0"/>
        <w:autoSpaceDE/>
        <w:autoSpaceDN/>
        <w:bidi w:val="0"/>
        <w:adjustRightInd/>
        <w:snapToGrid/>
        <w:spacing w:after="0" w:line="400" w:lineRule="atLeast"/>
        <w:ind w:left="0" w:leftChars="0" w:firstLine="403" w:firstLineChars="0"/>
        <w:jc w:val="left"/>
        <w:textAlignment w:val="auto"/>
        <w:rPr>
          <w:rFonts w:hint="eastAsia" w:ascii="宋体" w:hAnsi="宋体" w:eastAsia="宋体" w:cs="宋体"/>
          <w:kern w:val="2"/>
          <w:sz w:val="24"/>
          <w:szCs w:val="24"/>
        </w:rPr>
      </w:pPr>
      <w:r>
        <w:rPr>
          <w:rFonts w:hint="eastAsia" w:ascii="宋体" w:hAnsi="宋体" w:eastAsia="宋体" w:cs="宋体"/>
          <w:kern w:val="2"/>
          <w:sz w:val="24"/>
          <w:szCs w:val="24"/>
        </w:rPr>
        <w:t>具备心电关键字管理功能，可后台自定义新增、修改、删除，关键字内容包括但不限于不同心电诊断结论对应的心脏示意图、电轴示意图等，设置后，可针对不同心电图诊断结论，提供对应病变位置心脏示意图、电轴示意图等，给临床医生及患者提供病变部位参考；</w:t>
      </w:r>
    </w:p>
    <w:p>
      <w:pPr>
        <w:keepNext w:val="0"/>
        <w:keepLines w:val="0"/>
        <w:pageBreakBefore w:val="0"/>
        <w:widowControl/>
        <w:numPr>
          <w:ilvl w:val="0"/>
          <w:numId w:val="3"/>
        </w:numPr>
        <w:kinsoku/>
        <w:wordWrap/>
        <w:overflowPunct/>
        <w:topLinePunct w:val="0"/>
        <w:autoSpaceDE/>
        <w:autoSpaceDN/>
        <w:bidi w:val="0"/>
        <w:adjustRightInd/>
        <w:snapToGrid/>
        <w:spacing w:after="0" w:line="400" w:lineRule="atLeast"/>
        <w:ind w:left="0" w:leftChars="0" w:firstLine="403" w:firstLineChars="0"/>
        <w:jc w:val="left"/>
        <w:textAlignment w:val="auto"/>
        <w:rPr>
          <w:rFonts w:hint="eastAsia" w:ascii="宋体" w:hAnsi="宋体" w:eastAsia="宋体" w:cs="宋体"/>
          <w:kern w:val="2"/>
          <w:sz w:val="24"/>
          <w:szCs w:val="24"/>
        </w:rPr>
      </w:pPr>
      <w:r>
        <w:rPr>
          <w:rFonts w:hint="eastAsia" w:ascii="宋体" w:hAnsi="宋体" w:eastAsia="宋体" w:cs="宋体"/>
          <w:kern w:val="2"/>
          <w:sz w:val="24"/>
          <w:szCs w:val="24"/>
        </w:rPr>
        <w:t>综合质控：支持图像质控与报告质量双重质控，全面评价心电图像采集与诊断的质量；</w:t>
      </w:r>
    </w:p>
    <w:p>
      <w:pPr>
        <w:keepNext w:val="0"/>
        <w:keepLines w:val="0"/>
        <w:pageBreakBefore w:val="0"/>
        <w:widowControl/>
        <w:numPr>
          <w:ilvl w:val="0"/>
          <w:numId w:val="3"/>
        </w:numPr>
        <w:kinsoku/>
        <w:wordWrap/>
        <w:overflowPunct/>
        <w:topLinePunct w:val="0"/>
        <w:autoSpaceDE/>
        <w:autoSpaceDN/>
        <w:bidi w:val="0"/>
        <w:adjustRightInd/>
        <w:snapToGrid/>
        <w:spacing w:after="0" w:line="400" w:lineRule="atLeast"/>
        <w:ind w:left="0" w:leftChars="0" w:firstLine="403" w:firstLineChars="0"/>
        <w:jc w:val="left"/>
        <w:textAlignment w:val="auto"/>
        <w:rPr>
          <w:rFonts w:hint="eastAsia" w:ascii="宋体" w:hAnsi="宋体" w:eastAsia="宋体" w:cs="宋体"/>
          <w:kern w:val="2"/>
          <w:sz w:val="24"/>
          <w:szCs w:val="24"/>
        </w:rPr>
      </w:pPr>
      <w:r>
        <w:rPr>
          <w:rFonts w:hint="eastAsia" w:ascii="宋体" w:hAnsi="宋体" w:eastAsia="宋体" w:cs="宋体"/>
          <w:kern w:val="2"/>
          <w:sz w:val="24"/>
          <w:szCs w:val="24"/>
        </w:rPr>
        <w:t>支持对所有质控报告进行统一列表管理，并显示质控不合格原因；</w:t>
      </w:r>
    </w:p>
    <w:p>
      <w:pPr>
        <w:keepNext w:val="0"/>
        <w:keepLines w:val="0"/>
        <w:pageBreakBefore w:val="0"/>
        <w:widowControl/>
        <w:numPr>
          <w:ilvl w:val="0"/>
          <w:numId w:val="3"/>
        </w:numPr>
        <w:kinsoku/>
        <w:wordWrap/>
        <w:overflowPunct/>
        <w:topLinePunct w:val="0"/>
        <w:autoSpaceDE/>
        <w:autoSpaceDN/>
        <w:bidi w:val="0"/>
        <w:adjustRightInd/>
        <w:snapToGrid/>
        <w:spacing w:after="0" w:line="400" w:lineRule="atLeast"/>
        <w:ind w:left="0" w:leftChars="0" w:firstLine="403" w:firstLineChars="0"/>
        <w:jc w:val="left"/>
        <w:textAlignment w:val="auto"/>
        <w:rPr>
          <w:rFonts w:hint="default"/>
          <w:lang w:val="en-US" w:eastAsia="zh-CN"/>
        </w:rPr>
      </w:pPr>
      <w:r>
        <w:rPr>
          <w:rFonts w:hint="eastAsia" w:ascii="宋体" w:hAnsi="宋体" w:eastAsia="宋体" w:cs="宋体"/>
          <w:kern w:val="2"/>
          <w:sz w:val="24"/>
          <w:szCs w:val="24"/>
          <w:lang w:val="en-US" w:eastAsia="zh-CN"/>
        </w:rPr>
        <w:t>支持根据时间范围、报告医生，按比例抽取心电图进行质控。</w:t>
      </w:r>
    </w:p>
    <w:p>
      <w:pPr>
        <w:pStyle w:val="8"/>
        <w:bidi w:val="0"/>
        <w:outlineLvl w:val="1"/>
      </w:pPr>
      <w:bookmarkStart w:id="0" w:name="_Toc487652558"/>
      <w:r>
        <w:rPr>
          <w:rFonts w:hint="eastAsia"/>
        </w:rPr>
        <w:t>日运行报表</w:t>
      </w:r>
      <w:bookmarkEnd w:id="0"/>
    </w:p>
    <w:p>
      <w:pPr>
        <w:ind w:right="942" w:rightChars="428" w:firstLine="482"/>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青海红十字医院</w:t>
      </w:r>
    </w:p>
    <w:p>
      <w:pPr>
        <w:ind w:right="942" w:rightChars="428" w:firstLine="482"/>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维护项目日运行表</w:t>
      </w:r>
    </w:p>
    <w:p>
      <w:pPr>
        <w:pStyle w:val="3"/>
        <w:keepNext w:val="0"/>
        <w:keepLines w:val="0"/>
        <w:pageBreakBefore w:val="0"/>
        <w:widowControl w:val="0"/>
        <w:tabs>
          <w:tab w:val="left" w:pos="360"/>
        </w:tabs>
        <w:kinsoku/>
        <w:wordWrap/>
        <w:overflowPunct/>
        <w:topLinePunct w:val="0"/>
        <w:autoSpaceDE/>
        <w:autoSpaceDN/>
        <w:bidi w:val="0"/>
        <w:adjustRightInd/>
        <w:snapToGrid/>
        <w:spacing w:line="200" w:lineRule="exact"/>
        <w:ind w:left="363"/>
        <w:textAlignment w:val="auto"/>
        <w:rPr>
          <w:rFonts w:hint="eastAsia"/>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5"/>
        <w:gridCol w:w="1730"/>
        <w:gridCol w:w="1518"/>
        <w:gridCol w:w="1421"/>
        <w:gridCol w:w="1518"/>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1205"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日期</w:t>
            </w:r>
          </w:p>
        </w:tc>
        <w:tc>
          <w:tcPr>
            <w:tcW w:w="1730"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维护工程师</w:t>
            </w:r>
          </w:p>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签到</w:t>
            </w:r>
          </w:p>
        </w:tc>
        <w:tc>
          <w:tcPr>
            <w:tcW w:w="1518"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服务器运行情况</w:t>
            </w:r>
          </w:p>
        </w:tc>
        <w:tc>
          <w:tcPr>
            <w:tcW w:w="1421"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系统运行</w:t>
            </w:r>
          </w:p>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情况</w:t>
            </w:r>
          </w:p>
        </w:tc>
        <w:tc>
          <w:tcPr>
            <w:tcW w:w="1518"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医院信息科签字</w:t>
            </w:r>
          </w:p>
        </w:tc>
        <w:tc>
          <w:tcPr>
            <w:tcW w:w="1130"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205"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730"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518"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421"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518"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130"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205"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730"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518"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421"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518"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130"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05"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730"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518"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421"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518"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130"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trPr>
        <w:tc>
          <w:tcPr>
            <w:tcW w:w="1205"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730"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518"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421"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518"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130"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205"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730"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518"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421"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518"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130"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205"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730"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518"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421"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518"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130"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205"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730"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518"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421"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518"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130"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205"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730"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518"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421"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518"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130"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205"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730"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518"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421"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518"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c>
          <w:tcPr>
            <w:tcW w:w="1130" w:type="dxa"/>
            <w:noWrap w:val="0"/>
            <w:vAlign w:val="center"/>
          </w:tcPr>
          <w:p>
            <w:pPr>
              <w:pStyle w:val="9"/>
              <w:widowControl w:val="0"/>
              <w:adjustRightInd/>
              <w:snapToGrid/>
              <w:spacing w:after="0" w:line="400" w:lineRule="exact"/>
              <w:ind w:left="0" w:leftChars="0" w:firstLine="0" w:firstLineChars="0"/>
              <w:jc w:val="center"/>
              <w:rPr>
                <w:rFonts w:hint="eastAsia" w:ascii="宋体" w:hAnsi="宋体" w:eastAsia="宋体" w:cs="宋体"/>
                <w:sz w:val="24"/>
                <w:szCs w:val="24"/>
              </w:rPr>
            </w:pPr>
          </w:p>
        </w:tc>
      </w:tr>
    </w:tbl>
    <w:p>
      <w:pPr>
        <w:pStyle w:val="10"/>
        <w:ind w:left="0" w:leftChars="0" w:firstLine="0" w:firstLineChars="0"/>
        <w:rPr>
          <w:rFonts w:ascii="宋体" w:hAnsi="宋体"/>
          <w:szCs w:val="24"/>
        </w:rPr>
      </w:pPr>
    </w:p>
    <w:p>
      <w:pPr>
        <w:pStyle w:val="8"/>
        <w:bidi w:val="0"/>
        <w:outlineLvl w:val="1"/>
        <w:rPr>
          <w:rFonts w:hint="eastAsia"/>
        </w:rPr>
      </w:pPr>
      <w:bookmarkStart w:id="1" w:name="_Toc487652559"/>
      <w:r>
        <w:rPr>
          <w:rFonts w:hint="eastAsia"/>
        </w:rPr>
        <w:t>培训表</w:t>
      </w:r>
      <w:bookmarkEnd w:id="1"/>
    </w:p>
    <w:p>
      <w:pPr>
        <w:ind w:right="942" w:rightChars="428" w:firstLine="482"/>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青海红十字医院</w:t>
      </w:r>
    </w:p>
    <w:p>
      <w:pPr>
        <w:ind w:right="942" w:rightChars="428" w:firstLine="482"/>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系统培训服务培训人员签到表</w:t>
      </w:r>
    </w:p>
    <w:tbl>
      <w:tblPr>
        <w:tblStyle w:val="13"/>
        <w:tblpPr w:leftFromText="180" w:rightFromText="180" w:vertAnchor="text" w:horzAnchor="page" w:tblpX="1745" w:tblpY="333"/>
        <w:tblOverlap w:val="never"/>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08"/>
        <w:gridCol w:w="2129"/>
        <w:gridCol w:w="2124"/>
        <w:gridCol w:w="24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08" w:type="dxa"/>
            <w:noWrap w:val="0"/>
            <w:vAlign w:val="center"/>
          </w:tcPr>
          <w:p>
            <w:pPr>
              <w:pStyle w:val="9"/>
              <w:ind w:left="0" w:leftChars="0"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培训内容</w:t>
            </w:r>
          </w:p>
        </w:tc>
        <w:tc>
          <w:tcPr>
            <w:tcW w:w="6714" w:type="dxa"/>
            <w:gridSpan w:val="3"/>
            <w:noWrap w:val="0"/>
            <w:vAlign w:val="center"/>
          </w:tcPr>
          <w:p>
            <w:pPr>
              <w:pStyle w:val="9"/>
              <w:jc w:val="center"/>
              <w:rPr>
                <w:rFonts w:hint="eastAsia" w:asciiTheme="minorEastAsia" w:hAnsiTheme="minorEastAsia" w:eastAsiaTheme="minorEastAsia" w:cstheme="minor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08" w:type="dxa"/>
            <w:noWrap w:val="0"/>
            <w:vAlign w:val="center"/>
          </w:tcPr>
          <w:p>
            <w:pPr>
              <w:pStyle w:val="9"/>
              <w:ind w:left="0" w:leftChars="0"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培训日期</w:t>
            </w:r>
          </w:p>
        </w:tc>
        <w:tc>
          <w:tcPr>
            <w:tcW w:w="6714" w:type="dxa"/>
            <w:gridSpan w:val="3"/>
            <w:noWrap w:val="0"/>
            <w:vAlign w:val="center"/>
          </w:tcPr>
          <w:p>
            <w:pPr>
              <w:pStyle w:val="9"/>
              <w:jc w:val="center"/>
              <w:rPr>
                <w:rFonts w:hint="eastAsia" w:asciiTheme="minorEastAsia" w:hAnsiTheme="minorEastAsia" w:eastAsiaTheme="minorEastAsia" w:cstheme="minor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08" w:type="dxa"/>
            <w:noWrap w:val="0"/>
            <w:vAlign w:val="center"/>
          </w:tcPr>
          <w:p>
            <w:pPr>
              <w:pStyle w:val="9"/>
              <w:ind w:left="0" w:leftChars="0"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2129" w:type="dxa"/>
            <w:noWrap w:val="0"/>
            <w:vAlign w:val="center"/>
          </w:tcPr>
          <w:p>
            <w:pPr>
              <w:pStyle w:val="9"/>
              <w:ind w:left="0" w:leftChars="0"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姓名</w:t>
            </w:r>
          </w:p>
        </w:tc>
        <w:tc>
          <w:tcPr>
            <w:tcW w:w="2124" w:type="dxa"/>
            <w:noWrap w:val="0"/>
            <w:vAlign w:val="center"/>
          </w:tcPr>
          <w:p>
            <w:pPr>
              <w:pStyle w:val="9"/>
              <w:ind w:left="0" w:leftChars="0"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工号</w:t>
            </w:r>
          </w:p>
        </w:tc>
        <w:tc>
          <w:tcPr>
            <w:tcW w:w="2461" w:type="dxa"/>
            <w:noWrap w:val="0"/>
            <w:vAlign w:val="center"/>
          </w:tcPr>
          <w:p>
            <w:pPr>
              <w:pStyle w:val="9"/>
              <w:ind w:left="0" w:leftChars="0"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科室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08" w:type="dxa"/>
            <w:noWrap w:val="0"/>
            <w:vAlign w:val="center"/>
          </w:tcPr>
          <w:p>
            <w:pPr>
              <w:pStyle w:val="9"/>
              <w:jc w:val="center"/>
              <w:rPr>
                <w:rFonts w:hint="eastAsia" w:asciiTheme="minorEastAsia" w:hAnsiTheme="minorEastAsia" w:eastAsiaTheme="minorEastAsia" w:cstheme="minorEastAsia"/>
                <w:sz w:val="24"/>
                <w:szCs w:val="24"/>
              </w:rPr>
            </w:pPr>
          </w:p>
        </w:tc>
        <w:tc>
          <w:tcPr>
            <w:tcW w:w="2129" w:type="dxa"/>
            <w:noWrap w:val="0"/>
            <w:vAlign w:val="center"/>
          </w:tcPr>
          <w:p>
            <w:pPr>
              <w:pStyle w:val="9"/>
              <w:jc w:val="center"/>
              <w:rPr>
                <w:rFonts w:hint="eastAsia" w:asciiTheme="minorEastAsia" w:hAnsiTheme="minorEastAsia" w:eastAsiaTheme="minorEastAsia" w:cstheme="minorEastAsia"/>
                <w:sz w:val="24"/>
                <w:szCs w:val="24"/>
              </w:rPr>
            </w:pPr>
          </w:p>
        </w:tc>
        <w:tc>
          <w:tcPr>
            <w:tcW w:w="2124" w:type="dxa"/>
            <w:noWrap w:val="0"/>
            <w:vAlign w:val="center"/>
          </w:tcPr>
          <w:p>
            <w:pPr>
              <w:pStyle w:val="9"/>
              <w:jc w:val="center"/>
              <w:rPr>
                <w:rFonts w:hint="eastAsia" w:asciiTheme="minorEastAsia" w:hAnsiTheme="minorEastAsia" w:eastAsiaTheme="minorEastAsia" w:cstheme="minorEastAsia"/>
                <w:sz w:val="24"/>
                <w:szCs w:val="24"/>
              </w:rPr>
            </w:pPr>
          </w:p>
        </w:tc>
        <w:tc>
          <w:tcPr>
            <w:tcW w:w="2461" w:type="dxa"/>
            <w:noWrap w:val="0"/>
            <w:vAlign w:val="center"/>
          </w:tcPr>
          <w:p>
            <w:pPr>
              <w:pStyle w:val="9"/>
              <w:jc w:val="center"/>
              <w:rPr>
                <w:rFonts w:hint="eastAsia" w:asciiTheme="minorEastAsia" w:hAnsiTheme="minorEastAsia" w:eastAsiaTheme="minorEastAsia" w:cstheme="minor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08" w:type="dxa"/>
            <w:noWrap w:val="0"/>
            <w:vAlign w:val="center"/>
          </w:tcPr>
          <w:p>
            <w:pPr>
              <w:pStyle w:val="9"/>
              <w:jc w:val="center"/>
              <w:rPr>
                <w:rFonts w:hint="eastAsia" w:asciiTheme="minorEastAsia" w:hAnsiTheme="minorEastAsia" w:eastAsiaTheme="minorEastAsia" w:cstheme="minorEastAsia"/>
                <w:sz w:val="24"/>
                <w:szCs w:val="24"/>
              </w:rPr>
            </w:pPr>
          </w:p>
        </w:tc>
        <w:tc>
          <w:tcPr>
            <w:tcW w:w="2129" w:type="dxa"/>
            <w:noWrap w:val="0"/>
            <w:vAlign w:val="center"/>
          </w:tcPr>
          <w:p>
            <w:pPr>
              <w:pStyle w:val="9"/>
              <w:jc w:val="center"/>
              <w:rPr>
                <w:rFonts w:hint="eastAsia" w:asciiTheme="minorEastAsia" w:hAnsiTheme="minorEastAsia" w:eastAsiaTheme="minorEastAsia" w:cstheme="minorEastAsia"/>
                <w:sz w:val="24"/>
                <w:szCs w:val="24"/>
              </w:rPr>
            </w:pPr>
          </w:p>
        </w:tc>
        <w:tc>
          <w:tcPr>
            <w:tcW w:w="2124" w:type="dxa"/>
            <w:noWrap w:val="0"/>
            <w:vAlign w:val="center"/>
          </w:tcPr>
          <w:p>
            <w:pPr>
              <w:pStyle w:val="9"/>
              <w:jc w:val="center"/>
              <w:rPr>
                <w:rFonts w:hint="eastAsia" w:asciiTheme="minorEastAsia" w:hAnsiTheme="minorEastAsia" w:eastAsiaTheme="minorEastAsia" w:cstheme="minorEastAsia"/>
                <w:sz w:val="24"/>
                <w:szCs w:val="24"/>
              </w:rPr>
            </w:pPr>
          </w:p>
        </w:tc>
        <w:tc>
          <w:tcPr>
            <w:tcW w:w="2461" w:type="dxa"/>
            <w:noWrap w:val="0"/>
            <w:vAlign w:val="center"/>
          </w:tcPr>
          <w:p>
            <w:pPr>
              <w:pStyle w:val="9"/>
              <w:jc w:val="center"/>
              <w:rPr>
                <w:rFonts w:hint="eastAsia" w:asciiTheme="minorEastAsia" w:hAnsiTheme="minorEastAsia" w:eastAsiaTheme="minorEastAsia" w:cstheme="minor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1808" w:type="dxa"/>
            <w:noWrap w:val="0"/>
            <w:vAlign w:val="center"/>
          </w:tcPr>
          <w:p>
            <w:pPr>
              <w:pStyle w:val="9"/>
              <w:jc w:val="center"/>
              <w:rPr>
                <w:rFonts w:hint="eastAsia" w:asciiTheme="minorEastAsia" w:hAnsiTheme="minorEastAsia" w:eastAsiaTheme="minorEastAsia" w:cstheme="minorEastAsia"/>
                <w:sz w:val="24"/>
                <w:szCs w:val="24"/>
              </w:rPr>
            </w:pPr>
          </w:p>
        </w:tc>
        <w:tc>
          <w:tcPr>
            <w:tcW w:w="2129" w:type="dxa"/>
            <w:noWrap w:val="0"/>
            <w:vAlign w:val="center"/>
          </w:tcPr>
          <w:p>
            <w:pPr>
              <w:pStyle w:val="9"/>
              <w:jc w:val="center"/>
              <w:rPr>
                <w:rFonts w:hint="eastAsia" w:asciiTheme="minorEastAsia" w:hAnsiTheme="minorEastAsia" w:eastAsiaTheme="minorEastAsia" w:cstheme="minorEastAsia"/>
                <w:sz w:val="24"/>
                <w:szCs w:val="24"/>
              </w:rPr>
            </w:pPr>
          </w:p>
        </w:tc>
        <w:tc>
          <w:tcPr>
            <w:tcW w:w="2124" w:type="dxa"/>
            <w:noWrap w:val="0"/>
            <w:vAlign w:val="center"/>
          </w:tcPr>
          <w:p>
            <w:pPr>
              <w:pStyle w:val="9"/>
              <w:jc w:val="center"/>
              <w:rPr>
                <w:rFonts w:hint="eastAsia" w:asciiTheme="minorEastAsia" w:hAnsiTheme="minorEastAsia" w:eastAsiaTheme="minorEastAsia" w:cstheme="minorEastAsia"/>
                <w:sz w:val="24"/>
                <w:szCs w:val="24"/>
              </w:rPr>
            </w:pPr>
          </w:p>
        </w:tc>
        <w:tc>
          <w:tcPr>
            <w:tcW w:w="2461" w:type="dxa"/>
            <w:noWrap w:val="0"/>
            <w:vAlign w:val="center"/>
          </w:tcPr>
          <w:p>
            <w:pPr>
              <w:pStyle w:val="9"/>
              <w:jc w:val="center"/>
              <w:rPr>
                <w:rFonts w:hint="eastAsia" w:asciiTheme="minorEastAsia" w:hAnsiTheme="minorEastAsia" w:eastAsiaTheme="minorEastAsia" w:cstheme="minor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08" w:type="dxa"/>
            <w:noWrap w:val="0"/>
            <w:vAlign w:val="center"/>
          </w:tcPr>
          <w:p>
            <w:pPr>
              <w:pStyle w:val="9"/>
              <w:jc w:val="center"/>
              <w:rPr>
                <w:rFonts w:hint="eastAsia" w:asciiTheme="minorEastAsia" w:hAnsiTheme="minorEastAsia" w:eastAsiaTheme="minorEastAsia" w:cstheme="minorEastAsia"/>
                <w:sz w:val="24"/>
                <w:szCs w:val="24"/>
              </w:rPr>
            </w:pPr>
          </w:p>
        </w:tc>
        <w:tc>
          <w:tcPr>
            <w:tcW w:w="2129" w:type="dxa"/>
            <w:noWrap w:val="0"/>
            <w:vAlign w:val="center"/>
          </w:tcPr>
          <w:p>
            <w:pPr>
              <w:pStyle w:val="9"/>
              <w:jc w:val="center"/>
              <w:rPr>
                <w:rFonts w:hint="eastAsia" w:asciiTheme="minorEastAsia" w:hAnsiTheme="minorEastAsia" w:eastAsiaTheme="minorEastAsia" w:cstheme="minorEastAsia"/>
                <w:sz w:val="24"/>
                <w:szCs w:val="24"/>
              </w:rPr>
            </w:pPr>
          </w:p>
        </w:tc>
        <w:tc>
          <w:tcPr>
            <w:tcW w:w="2124" w:type="dxa"/>
            <w:noWrap w:val="0"/>
            <w:vAlign w:val="center"/>
          </w:tcPr>
          <w:p>
            <w:pPr>
              <w:pStyle w:val="9"/>
              <w:jc w:val="center"/>
              <w:rPr>
                <w:rFonts w:hint="eastAsia" w:asciiTheme="minorEastAsia" w:hAnsiTheme="minorEastAsia" w:eastAsiaTheme="minorEastAsia" w:cstheme="minorEastAsia"/>
                <w:sz w:val="24"/>
                <w:szCs w:val="24"/>
              </w:rPr>
            </w:pPr>
          </w:p>
        </w:tc>
        <w:tc>
          <w:tcPr>
            <w:tcW w:w="2461" w:type="dxa"/>
            <w:noWrap w:val="0"/>
            <w:vAlign w:val="center"/>
          </w:tcPr>
          <w:p>
            <w:pPr>
              <w:pStyle w:val="9"/>
              <w:jc w:val="center"/>
              <w:rPr>
                <w:rFonts w:hint="eastAsia" w:asciiTheme="minorEastAsia" w:hAnsiTheme="minorEastAsia" w:eastAsiaTheme="minorEastAsia" w:cstheme="minor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08" w:type="dxa"/>
            <w:noWrap w:val="0"/>
            <w:vAlign w:val="center"/>
          </w:tcPr>
          <w:p>
            <w:pPr>
              <w:pStyle w:val="9"/>
              <w:jc w:val="center"/>
              <w:rPr>
                <w:rFonts w:hint="eastAsia" w:asciiTheme="minorEastAsia" w:hAnsiTheme="minorEastAsia" w:eastAsiaTheme="minorEastAsia" w:cstheme="minorEastAsia"/>
                <w:sz w:val="24"/>
                <w:szCs w:val="24"/>
              </w:rPr>
            </w:pPr>
          </w:p>
        </w:tc>
        <w:tc>
          <w:tcPr>
            <w:tcW w:w="2129" w:type="dxa"/>
            <w:noWrap w:val="0"/>
            <w:vAlign w:val="center"/>
          </w:tcPr>
          <w:p>
            <w:pPr>
              <w:pStyle w:val="9"/>
              <w:jc w:val="center"/>
              <w:rPr>
                <w:rFonts w:hint="eastAsia" w:asciiTheme="minorEastAsia" w:hAnsiTheme="minorEastAsia" w:eastAsiaTheme="minorEastAsia" w:cstheme="minorEastAsia"/>
                <w:sz w:val="24"/>
                <w:szCs w:val="24"/>
              </w:rPr>
            </w:pPr>
          </w:p>
        </w:tc>
        <w:tc>
          <w:tcPr>
            <w:tcW w:w="2124" w:type="dxa"/>
            <w:noWrap w:val="0"/>
            <w:vAlign w:val="center"/>
          </w:tcPr>
          <w:p>
            <w:pPr>
              <w:pStyle w:val="9"/>
              <w:jc w:val="center"/>
              <w:rPr>
                <w:rFonts w:hint="eastAsia" w:asciiTheme="minorEastAsia" w:hAnsiTheme="minorEastAsia" w:eastAsiaTheme="minorEastAsia" w:cstheme="minorEastAsia"/>
                <w:sz w:val="24"/>
                <w:szCs w:val="24"/>
              </w:rPr>
            </w:pPr>
          </w:p>
        </w:tc>
        <w:tc>
          <w:tcPr>
            <w:tcW w:w="2461" w:type="dxa"/>
            <w:noWrap w:val="0"/>
            <w:vAlign w:val="center"/>
          </w:tcPr>
          <w:p>
            <w:pPr>
              <w:pStyle w:val="9"/>
              <w:jc w:val="center"/>
              <w:rPr>
                <w:rFonts w:hint="eastAsia" w:asciiTheme="minorEastAsia" w:hAnsiTheme="minorEastAsia" w:eastAsiaTheme="minorEastAsia" w:cstheme="minor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08" w:type="dxa"/>
            <w:noWrap w:val="0"/>
            <w:vAlign w:val="center"/>
          </w:tcPr>
          <w:p>
            <w:pPr>
              <w:pStyle w:val="9"/>
              <w:jc w:val="center"/>
              <w:rPr>
                <w:rFonts w:hint="eastAsia" w:asciiTheme="minorEastAsia" w:hAnsiTheme="minorEastAsia" w:eastAsiaTheme="minorEastAsia" w:cstheme="minorEastAsia"/>
                <w:sz w:val="24"/>
                <w:szCs w:val="24"/>
              </w:rPr>
            </w:pPr>
          </w:p>
        </w:tc>
        <w:tc>
          <w:tcPr>
            <w:tcW w:w="2129" w:type="dxa"/>
            <w:noWrap w:val="0"/>
            <w:vAlign w:val="center"/>
          </w:tcPr>
          <w:p>
            <w:pPr>
              <w:pStyle w:val="9"/>
              <w:jc w:val="center"/>
              <w:rPr>
                <w:rFonts w:hint="eastAsia" w:asciiTheme="minorEastAsia" w:hAnsiTheme="minorEastAsia" w:eastAsiaTheme="minorEastAsia" w:cstheme="minorEastAsia"/>
                <w:sz w:val="24"/>
                <w:szCs w:val="24"/>
              </w:rPr>
            </w:pPr>
          </w:p>
        </w:tc>
        <w:tc>
          <w:tcPr>
            <w:tcW w:w="2124" w:type="dxa"/>
            <w:noWrap w:val="0"/>
            <w:vAlign w:val="center"/>
          </w:tcPr>
          <w:p>
            <w:pPr>
              <w:pStyle w:val="9"/>
              <w:jc w:val="center"/>
              <w:rPr>
                <w:rFonts w:hint="eastAsia" w:asciiTheme="minorEastAsia" w:hAnsiTheme="minorEastAsia" w:eastAsiaTheme="minorEastAsia" w:cstheme="minorEastAsia"/>
                <w:sz w:val="24"/>
                <w:szCs w:val="24"/>
              </w:rPr>
            </w:pPr>
          </w:p>
        </w:tc>
        <w:tc>
          <w:tcPr>
            <w:tcW w:w="2461" w:type="dxa"/>
            <w:noWrap w:val="0"/>
            <w:vAlign w:val="center"/>
          </w:tcPr>
          <w:p>
            <w:pPr>
              <w:pStyle w:val="9"/>
              <w:jc w:val="center"/>
              <w:rPr>
                <w:rFonts w:hint="eastAsia" w:asciiTheme="minorEastAsia" w:hAnsiTheme="minorEastAsia" w:eastAsiaTheme="minorEastAsia" w:cstheme="minor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08" w:type="dxa"/>
            <w:noWrap w:val="0"/>
            <w:vAlign w:val="center"/>
          </w:tcPr>
          <w:p>
            <w:pPr>
              <w:pStyle w:val="9"/>
              <w:jc w:val="center"/>
              <w:rPr>
                <w:rFonts w:hint="eastAsia" w:asciiTheme="minorEastAsia" w:hAnsiTheme="minorEastAsia" w:eastAsiaTheme="minorEastAsia" w:cstheme="minorEastAsia"/>
                <w:sz w:val="24"/>
                <w:szCs w:val="24"/>
              </w:rPr>
            </w:pPr>
          </w:p>
        </w:tc>
        <w:tc>
          <w:tcPr>
            <w:tcW w:w="2129" w:type="dxa"/>
            <w:noWrap w:val="0"/>
            <w:vAlign w:val="center"/>
          </w:tcPr>
          <w:p>
            <w:pPr>
              <w:pStyle w:val="9"/>
              <w:jc w:val="center"/>
              <w:rPr>
                <w:rFonts w:hint="eastAsia" w:asciiTheme="minorEastAsia" w:hAnsiTheme="minorEastAsia" w:eastAsiaTheme="minorEastAsia" w:cstheme="minorEastAsia"/>
                <w:sz w:val="24"/>
                <w:szCs w:val="24"/>
              </w:rPr>
            </w:pPr>
          </w:p>
        </w:tc>
        <w:tc>
          <w:tcPr>
            <w:tcW w:w="2124" w:type="dxa"/>
            <w:noWrap w:val="0"/>
            <w:vAlign w:val="center"/>
          </w:tcPr>
          <w:p>
            <w:pPr>
              <w:pStyle w:val="9"/>
              <w:jc w:val="center"/>
              <w:rPr>
                <w:rFonts w:hint="eastAsia" w:asciiTheme="minorEastAsia" w:hAnsiTheme="minorEastAsia" w:eastAsiaTheme="minorEastAsia" w:cstheme="minorEastAsia"/>
                <w:sz w:val="24"/>
                <w:szCs w:val="24"/>
              </w:rPr>
            </w:pPr>
          </w:p>
        </w:tc>
        <w:tc>
          <w:tcPr>
            <w:tcW w:w="2461" w:type="dxa"/>
            <w:noWrap w:val="0"/>
            <w:vAlign w:val="center"/>
          </w:tcPr>
          <w:p>
            <w:pPr>
              <w:pStyle w:val="9"/>
              <w:jc w:val="center"/>
              <w:rPr>
                <w:rFonts w:hint="eastAsia" w:asciiTheme="minorEastAsia" w:hAnsiTheme="minorEastAsia" w:eastAsiaTheme="minorEastAsia" w:cstheme="minor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08" w:type="dxa"/>
            <w:noWrap w:val="0"/>
            <w:vAlign w:val="center"/>
          </w:tcPr>
          <w:p>
            <w:pPr>
              <w:pStyle w:val="9"/>
              <w:jc w:val="center"/>
              <w:rPr>
                <w:rFonts w:hint="eastAsia" w:asciiTheme="minorEastAsia" w:hAnsiTheme="minorEastAsia" w:eastAsiaTheme="minorEastAsia" w:cstheme="minorEastAsia"/>
                <w:sz w:val="24"/>
                <w:szCs w:val="24"/>
              </w:rPr>
            </w:pPr>
          </w:p>
        </w:tc>
        <w:tc>
          <w:tcPr>
            <w:tcW w:w="2129" w:type="dxa"/>
            <w:noWrap w:val="0"/>
            <w:vAlign w:val="center"/>
          </w:tcPr>
          <w:p>
            <w:pPr>
              <w:pStyle w:val="9"/>
              <w:jc w:val="center"/>
              <w:rPr>
                <w:rFonts w:hint="eastAsia" w:asciiTheme="minorEastAsia" w:hAnsiTheme="minorEastAsia" w:eastAsiaTheme="minorEastAsia" w:cstheme="minorEastAsia"/>
                <w:sz w:val="24"/>
                <w:szCs w:val="24"/>
              </w:rPr>
            </w:pPr>
          </w:p>
        </w:tc>
        <w:tc>
          <w:tcPr>
            <w:tcW w:w="2124" w:type="dxa"/>
            <w:noWrap w:val="0"/>
            <w:vAlign w:val="center"/>
          </w:tcPr>
          <w:p>
            <w:pPr>
              <w:pStyle w:val="9"/>
              <w:jc w:val="center"/>
              <w:rPr>
                <w:rFonts w:hint="eastAsia" w:asciiTheme="minorEastAsia" w:hAnsiTheme="minorEastAsia" w:eastAsiaTheme="minorEastAsia" w:cstheme="minorEastAsia"/>
                <w:sz w:val="24"/>
                <w:szCs w:val="24"/>
              </w:rPr>
            </w:pPr>
          </w:p>
        </w:tc>
        <w:tc>
          <w:tcPr>
            <w:tcW w:w="2461" w:type="dxa"/>
            <w:noWrap w:val="0"/>
            <w:vAlign w:val="center"/>
          </w:tcPr>
          <w:p>
            <w:pPr>
              <w:pStyle w:val="9"/>
              <w:jc w:val="center"/>
              <w:rPr>
                <w:rFonts w:hint="eastAsia" w:asciiTheme="minorEastAsia" w:hAnsiTheme="minorEastAsia" w:eastAsiaTheme="minorEastAsia" w:cstheme="minor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08" w:type="dxa"/>
            <w:noWrap w:val="0"/>
            <w:vAlign w:val="center"/>
          </w:tcPr>
          <w:p>
            <w:pPr>
              <w:pStyle w:val="9"/>
              <w:jc w:val="center"/>
              <w:rPr>
                <w:rFonts w:hint="eastAsia" w:asciiTheme="minorEastAsia" w:hAnsiTheme="minorEastAsia" w:eastAsiaTheme="minorEastAsia" w:cstheme="minorEastAsia"/>
                <w:sz w:val="24"/>
                <w:szCs w:val="24"/>
              </w:rPr>
            </w:pPr>
          </w:p>
        </w:tc>
        <w:tc>
          <w:tcPr>
            <w:tcW w:w="2129" w:type="dxa"/>
            <w:noWrap w:val="0"/>
            <w:vAlign w:val="center"/>
          </w:tcPr>
          <w:p>
            <w:pPr>
              <w:pStyle w:val="9"/>
              <w:jc w:val="center"/>
              <w:rPr>
                <w:rFonts w:hint="eastAsia" w:asciiTheme="minorEastAsia" w:hAnsiTheme="minorEastAsia" w:eastAsiaTheme="minorEastAsia" w:cstheme="minorEastAsia"/>
                <w:sz w:val="24"/>
                <w:szCs w:val="24"/>
              </w:rPr>
            </w:pPr>
          </w:p>
        </w:tc>
        <w:tc>
          <w:tcPr>
            <w:tcW w:w="2124" w:type="dxa"/>
            <w:noWrap w:val="0"/>
            <w:vAlign w:val="center"/>
          </w:tcPr>
          <w:p>
            <w:pPr>
              <w:pStyle w:val="9"/>
              <w:jc w:val="center"/>
              <w:rPr>
                <w:rFonts w:hint="eastAsia" w:asciiTheme="minorEastAsia" w:hAnsiTheme="minorEastAsia" w:eastAsiaTheme="minorEastAsia" w:cstheme="minorEastAsia"/>
                <w:sz w:val="24"/>
                <w:szCs w:val="24"/>
              </w:rPr>
            </w:pPr>
          </w:p>
        </w:tc>
        <w:tc>
          <w:tcPr>
            <w:tcW w:w="2461" w:type="dxa"/>
            <w:noWrap w:val="0"/>
            <w:vAlign w:val="center"/>
          </w:tcPr>
          <w:p>
            <w:pPr>
              <w:pStyle w:val="9"/>
              <w:jc w:val="center"/>
              <w:rPr>
                <w:rFonts w:hint="eastAsia" w:asciiTheme="minorEastAsia" w:hAnsiTheme="minorEastAsia" w:eastAsiaTheme="minorEastAsia" w:cstheme="minor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08" w:type="dxa"/>
            <w:noWrap w:val="0"/>
            <w:vAlign w:val="center"/>
          </w:tcPr>
          <w:p>
            <w:pPr>
              <w:pStyle w:val="9"/>
              <w:jc w:val="center"/>
              <w:rPr>
                <w:rFonts w:hint="eastAsia" w:asciiTheme="minorEastAsia" w:hAnsiTheme="minorEastAsia" w:eastAsiaTheme="minorEastAsia" w:cstheme="minorEastAsia"/>
                <w:sz w:val="24"/>
                <w:szCs w:val="24"/>
              </w:rPr>
            </w:pPr>
          </w:p>
        </w:tc>
        <w:tc>
          <w:tcPr>
            <w:tcW w:w="2129" w:type="dxa"/>
            <w:noWrap w:val="0"/>
            <w:vAlign w:val="center"/>
          </w:tcPr>
          <w:p>
            <w:pPr>
              <w:pStyle w:val="9"/>
              <w:jc w:val="center"/>
              <w:rPr>
                <w:rFonts w:hint="eastAsia" w:asciiTheme="minorEastAsia" w:hAnsiTheme="minorEastAsia" w:eastAsiaTheme="minorEastAsia" w:cstheme="minorEastAsia"/>
                <w:sz w:val="24"/>
                <w:szCs w:val="24"/>
              </w:rPr>
            </w:pPr>
          </w:p>
        </w:tc>
        <w:tc>
          <w:tcPr>
            <w:tcW w:w="2124" w:type="dxa"/>
            <w:noWrap w:val="0"/>
            <w:vAlign w:val="center"/>
          </w:tcPr>
          <w:p>
            <w:pPr>
              <w:pStyle w:val="9"/>
              <w:jc w:val="center"/>
              <w:rPr>
                <w:rFonts w:hint="eastAsia" w:asciiTheme="minorEastAsia" w:hAnsiTheme="minorEastAsia" w:eastAsiaTheme="minorEastAsia" w:cstheme="minorEastAsia"/>
                <w:sz w:val="24"/>
                <w:szCs w:val="24"/>
              </w:rPr>
            </w:pPr>
          </w:p>
        </w:tc>
        <w:tc>
          <w:tcPr>
            <w:tcW w:w="2461" w:type="dxa"/>
            <w:noWrap w:val="0"/>
            <w:vAlign w:val="center"/>
          </w:tcPr>
          <w:p>
            <w:pPr>
              <w:pStyle w:val="9"/>
              <w:jc w:val="center"/>
              <w:rPr>
                <w:rFonts w:hint="eastAsia" w:asciiTheme="minorEastAsia" w:hAnsiTheme="minorEastAsia" w:eastAsiaTheme="minorEastAsia" w:cstheme="minor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08" w:type="dxa"/>
            <w:noWrap w:val="0"/>
            <w:vAlign w:val="center"/>
          </w:tcPr>
          <w:p>
            <w:pPr>
              <w:pStyle w:val="9"/>
              <w:jc w:val="center"/>
              <w:rPr>
                <w:rFonts w:hint="eastAsia" w:asciiTheme="minorEastAsia" w:hAnsiTheme="minorEastAsia" w:eastAsiaTheme="minorEastAsia" w:cstheme="minorEastAsia"/>
                <w:sz w:val="24"/>
                <w:szCs w:val="24"/>
              </w:rPr>
            </w:pPr>
          </w:p>
        </w:tc>
        <w:tc>
          <w:tcPr>
            <w:tcW w:w="2129" w:type="dxa"/>
            <w:noWrap w:val="0"/>
            <w:vAlign w:val="center"/>
          </w:tcPr>
          <w:p>
            <w:pPr>
              <w:pStyle w:val="9"/>
              <w:jc w:val="center"/>
              <w:rPr>
                <w:rFonts w:hint="eastAsia" w:asciiTheme="minorEastAsia" w:hAnsiTheme="minorEastAsia" w:eastAsiaTheme="minorEastAsia" w:cstheme="minorEastAsia"/>
                <w:sz w:val="24"/>
                <w:szCs w:val="24"/>
              </w:rPr>
            </w:pPr>
          </w:p>
        </w:tc>
        <w:tc>
          <w:tcPr>
            <w:tcW w:w="2124" w:type="dxa"/>
            <w:noWrap w:val="0"/>
            <w:vAlign w:val="center"/>
          </w:tcPr>
          <w:p>
            <w:pPr>
              <w:pStyle w:val="9"/>
              <w:jc w:val="center"/>
              <w:rPr>
                <w:rFonts w:hint="eastAsia" w:asciiTheme="minorEastAsia" w:hAnsiTheme="minorEastAsia" w:eastAsiaTheme="minorEastAsia" w:cstheme="minorEastAsia"/>
                <w:sz w:val="24"/>
                <w:szCs w:val="24"/>
              </w:rPr>
            </w:pPr>
          </w:p>
        </w:tc>
        <w:tc>
          <w:tcPr>
            <w:tcW w:w="2461" w:type="dxa"/>
            <w:noWrap w:val="0"/>
            <w:vAlign w:val="center"/>
          </w:tcPr>
          <w:p>
            <w:pPr>
              <w:pStyle w:val="9"/>
              <w:jc w:val="center"/>
              <w:rPr>
                <w:rFonts w:hint="eastAsia" w:asciiTheme="minorEastAsia" w:hAnsiTheme="minorEastAsia" w:eastAsiaTheme="minorEastAsia" w:cstheme="minor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08" w:type="dxa"/>
            <w:noWrap w:val="0"/>
            <w:vAlign w:val="center"/>
          </w:tcPr>
          <w:p>
            <w:pPr>
              <w:pStyle w:val="9"/>
              <w:jc w:val="center"/>
              <w:rPr>
                <w:rFonts w:hint="eastAsia" w:asciiTheme="minorEastAsia" w:hAnsiTheme="minorEastAsia" w:eastAsiaTheme="minorEastAsia" w:cstheme="minorEastAsia"/>
                <w:sz w:val="24"/>
                <w:szCs w:val="24"/>
              </w:rPr>
            </w:pPr>
          </w:p>
        </w:tc>
        <w:tc>
          <w:tcPr>
            <w:tcW w:w="2129" w:type="dxa"/>
            <w:noWrap w:val="0"/>
            <w:vAlign w:val="center"/>
          </w:tcPr>
          <w:p>
            <w:pPr>
              <w:pStyle w:val="9"/>
              <w:jc w:val="center"/>
              <w:rPr>
                <w:rFonts w:hint="eastAsia" w:asciiTheme="minorEastAsia" w:hAnsiTheme="minorEastAsia" w:eastAsiaTheme="minorEastAsia" w:cstheme="minorEastAsia"/>
                <w:sz w:val="24"/>
                <w:szCs w:val="24"/>
              </w:rPr>
            </w:pPr>
          </w:p>
        </w:tc>
        <w:tc>
          <w:tcPr>
            <w:tcW w:w="2124" w:type="dxa"/>
            <w:noWrap w:val="0"/>
            <w:vAlign w:val="center"/>
          </w:tcPr>
          <w:p>
            <w:pPr>
              <w:pStyle w:val="9"/>
              <w:jc w:val="center"/>
              <w:rPr>
                <w:rFonts w:hint="eastAsia" w:asciiTheme="minorEastAsia" w:hAnsiTheme="minorEastAsia" w:eastAsiaTheme="minorEastAsia" w:cstheme="minorEastAsia"/>
                <w:sz w:val="24"/>
                <w:szCs w:val="24"/>
              </w:rPr>
            </w:pPr>
          </w:p>
        </w:tc>
        <w:tc>
          <w:tcPr>
            <w:tcW w:w="2461" w:type="dxa"/>
            <w:noWrap w:val="0"/>
            <w:vAlign w:val="center"/>
          </w:tcPr>
          <w:p>
            <w:pPr>
              <w:pStyle w:val="9"/>
              <w:jc w:val="center"/>
              <w:rPr>
                <w:rFonts w:hint="eastAsia" w:asciiTheme="minorEastAsia" w:hAnsiTheme="minorEastAsia" w:eastAsiaTheme="minorEastAsia" w:cstheme="minor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08" w:type="dxa"/>
            <w:noWrap w:val="0"/>
            <w:vAlign w:val="center"/>
          </w:tcPr>
          <w:p>
            <w:pPr>
              <w:pStyle w:val="9"/>
              <w:jc w:val="center"/>
              <w:rPr>
                <w:rFonts w:hint="eastAsia" w:asciiTheme="minorEastAsia" w:hAnsiTheme="minorEastAsia" w:eastAsiaTheme="minorEastAsia" w:cstheme="minorEastAsia"/>
                <w:sz w:val="24"/>
                <w:szCs w:val="24"/>
              </w:rPr>
            </w:pPr>
          </w:p>
        </w:tc>
        <w:tc>
          <w:tcPr>
            <w:tcW w:w="2129" w:type="dxa"/>
            <w:noWrap w:val="0"/>
            <w:vAlign w:val="center"/>
          </w:tcPr>
          <w:p>
            <w:pPr>
              <w:pStyle w:val="9"/>
              <w:jc w:val="center"/>
              <w:rPr>
                <w:rFonts w:hint="eastAsia" w:asciiTheme="minorEastAsia" w:hAnsiTheme="minorEastAsia" w:eastAsiaTheme="minorEastAsia" w:cstheme="minorEastAsia"/>
                <w:sz w:val="24"/>
                <w:szCs w:val="24"/>
              </w:rPr>
            </w:pPr>
          </w:p>
        </w:tc>
        <w:tc>
          <w:tcPr>
            <w:tcW w:w="2124" w:type="dxa"/>
            <w:noWrap w:val="0"/>
            <w:vAlign w:val="center"/>
          </w:tcPr>
          <w:p>
            <w:pPr>
              <w:pStyle w:val="9"/>
              <w:jc w:val="center"/>
              <w:rPr>
                <w:rFonts w:hint="eastAsia" w:asciiTheme="minorEastAsia" w:hAnsiTheme="minorEastAsia" w:eastAsiaTheme="minorEastAsia" w:cstheme="minorEastAsia"/>
                <w:sz w:val="24"/>
                <w:szCs w:val="24"/>
              </w:rPr>
            </w:pPr>
          </w:p>
        </w:tc>
        <w:tc>
          <w:tcPr>
            <w:tcW w:w="2461" w:type="dxa"/>
            <w:noWrap w:val="0"/>
            <w:vAlign w:val="center"/>
          </w:tcPr>
          <w:p>
            <w:pPr>
              <w:pStyle w:val="9"/>
              <w:jc w:val="center"/>
              <w:rPr>
                <w:rFonts w:hint="eastAsia" w:asciiTheme="minorEastAsia" w:hAnsiTheme="minorEastAsia" w:eastAsiaTheme="minorEastAsia" w:cstheme="minorEastAsia"/>
                <w:sz w:val="24"/>
                <w:szCs w:val="24"/>
              </w:rPr>
            </w:pPr>
          </w:p>
        </w:tc>
      </w:tr>
    </w:tbl>
    <w:p>
      <w:pPr>
        <w:keepNext w:val="0"/>
        <w:keepLines w:val="0"/>
        <w:pageBreakBefore w:val="0"/>
        <w:widowControl/>
        <w:kinsoku/>
        <w:wordWrap/>
        <w:overflowPunct/>
        <w:topLinePunct w:val="0"/>
        <w:autoSpaceDE/>
        <w:autoSpaceDN/>
        <w:bidi w:val="0"/>
        <w:adjustRightInd/>
        <w:snapToGrid/>
        <w:spacing w:line="400" w:lineRule="atLeast"/>
        <w:ind w:left="0" w:leftChars="0" w:firstLine="440" w:firstLineChars="200"/>
        <w:jc w:val="lef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注：1、请认真填写该表，只能由本人填写自己本次的学习记录，不允许代填写，不允许一次填写多次的记录。</w:t>
      </w:r>
    </w:p>
    <w:p>
      <w:pPr>
        <w:keepNext w:val="0"/>
        <w:keepLines w:val="0"/>
        <w:pageBreakBefore w:val="0"/>
        <w:widowControl/>
        <w:kinsoku/>
        <w:wordWrap/>
        <w:overflowPunct/>
        <w:topLinePunct w:val="0"/>
        <w:autoSpaceDE/>
        <w:autoSpaceDN/>
        <w:bidi w:val="0"/>
        <w:adjustRightInd/>
        <w:snapToGrid/>
        <w:spacing w:line="400" w:lineRule="atLeast"/>
        <w:ind w:left="0" w:leftChars="0" w:firstLine="440" w:firstLineChars="200"/>
        <w:jc w:val="lef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rPr>
        <w:t>该表中的记录记入本人的考核参考指标中，如在该表中没有某人记录，则不允许考核。</w:t>
      </w:r>
    </w:p>
    <w:p>
      <w:pPr>
        <w:pStyle w:val="8"/>
        <w:bidi w:val="0"/>
        <w:outlineLvl w:val="1"/>
        <w:rPr>
          <w:rFonts w:hint="eastAsia"/>
        </w:rPr>
      </w:pPr>
      <w:bookmarkStart w:id="2" w:name="_Toc487652560"/>
      <w:r>
        <w:rPr>
          <w:rFonts w:hint="eastAsia"/>
        </w:rPr>
        <w:t>科室需求表</w:t>
      </w:r>
      <w:bookmarkEnd w:id="2"/>
    </w:p>
    <w:p>
      <w:pPr>
        <w:ind w:right="942" w:rightChars="428" w:firstLine="482"/>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青海红十字医院</w:t>
      </w:r>
    </w:p>
    <w:p>
      <w:pPr>
        <w:ind w:right="942" w:rightChars="428" w:firstLine="482"/>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客户化需求报告</w:t>
      </w:r>
    </w:p>
    <w:p>
      <w:pPr>
        <w:pStyle w:val="3"/>
        <w:keepNext w:val="0"/>
        <w:keepLines w:val="0"/>
        <w:pageBreakBefore w:val="0"/>
        <w:widowControl w:val="0"/>
        <w:tabs>
          <w:tab w:val="left" w:pos="360"/>
        </w:tabs>
        <w:kinsoku/>
        <w:wordWrap/>
        <w:overflowPunct/>
        <w:topLinePunct w:val="0"/>
        <w:autoSpaceDE/>
        <w:autoSpaceDN/>
        <w:bidi w:val="0"/>
        <w:adjustRightInd/>
        <w:snapToGrid/>
        <w:spacing w:line="200" w:lineRule="exact"/>
        <w:ind w:left="363"/>
        <w:textAlignment w:val="auto"/>
      </w:pPr>
    </w:p>
    <w:tbl>
      <w:tblPr>
        <w:tblStyle w:val="14"/>
        <w:tblW w:w="86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
        <w:gridCol w:w="1050"/>
        <w:gridCol w:w="1976"/>
        <w:gridCol w:w="2321"/>
        <w:gridCol w:w="1177"/>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1906"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atLeast"/>
              <w:ind w:left="0" w:leftChars="0" w:firstLine="0" w:firstLineChars="0"/>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医院名称</w:t>
            </w:r>
          </w:p>
        </w:tc>
        <w:tc>
          <w:tcPr>
            <w:tcW w:w="1976" w:type="dxa"/>
            <w:vAlign w:val="center"/>
          </w:tcPr>
          <w:p>
            <w:pPr>
              <w:keepNext w:val="0"/>
              <w:keepLines w:val="0"/>
              <w:pageBreakBefore w:val="0"/>
              <w:widowControl w:val="0"/>
              <w:kinsoku/>
              <w:wordWrap/>
              <w:overflowPunct/>
              <w:topLinePunct w:val="0"/>
              <w:autoSpaceDE/>
              <w:autoSpaceDN/>
              <w:bidi w:val="0"/>
              <w:adjustRightInd/>
              <w:snapToGrid/>
              <w:spacing w:line="400" w:lineRule="atLeast"/>
              <w:ind w:left="0" w:leftChars="0" w:firstLine="0" w:firstLineChars="0"/>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青海红十字医院</w:t>
            </w:r>
          </w:p>
        </w:tc>
        <w:tc>
          <w:tcPr>
            <w:tcW w:w="2321" w:type="dxa"/>
            <w:vAlign w:val="center"/>
          </w:tcPr>
          <w:p>
            <w:pPr>
              <w:keepNext w:val="0"/>
              <w:keepLines w:val="0"/>
              <w:pageBreakBefore w:val="0"/>
              <w:widowControl w:val="0"/>
              <w:kinsoku/>
              <w:wordWrap/>
              <w:overflowPunct/>
              <w:topLinePunct w:val="0"/>
              <w:autoSpaceDE/>
              <w:autoSpaceDN/>
              <w:bidi w:val="0"/>
              <w:adjustRightInd/>
              <w:snapToGrid/>
              <w:spacing w:line="400" w:lineRule="atLeast"/>
              <w:ind w:left="0" w:leftChars="0" w:firstLine="0" w:firstLineChars="0"/>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提出科室/人员</w:t>
            </w:r>
          </w:p>
        </w:tc>
        <w:tc>
          <w:tcPr>
            <w:tcW w:w="2495"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atLeast"/>
              <w:ind w:left="0" w:leftChars="0" w:firstLine="0" w:firstLineChars="0"/>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906"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atLeast"/>
              <w:ind w:left="0" w:leftChars="0" w:firstLine="0" w:firstLineChars="0"/>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维护工程师</w:t>
            </w:r>
          </w:p>
        </w:tc>
        <w:tc>
          <w:tcPr>
            <w:tcW w:w="1976" w:type="dxa"/>
            <w:vAlign w:val="center"/>
          </w:tcPr>
          <w:p>
            <w:pPr>
              <w:keepNext w:val="0"/>
              <w:keepLines w:val="0"/>
              <w:pageBreakBefore w:val="0"/>
              <w:widowControl w:val="0"/>
              <w:kinsoku/>
              <w:wordWrap/>
              <w:overflowPunct/>
              <w:topLinePunct w:val="0"/>
              <w:autoSpaceDE/>
              <w:autoSpaceDN/>
              <w:bidi w:val="0"/>
              <w:adjustRightInd/>
              <w:snapToGrid/>
              <w:spacing w:line="400" w:lineRule="atLeast"/>
              <w:ind w:left="0" w:leftChars="0" w:firstLine="0" w:firstLineChars="0"/>
              <w:jc w:val="both"/>
              <w:textAlignment w:val="auto"/>
              <w:rPr>
                <w:rFonts w:hint="eastAsia" w:asciiTheme="minorEastAsia" w:hAnsiTheme="minorEastAsia" w:eastAsiaTheme="minorEastAsia" w:cstheme="minorEastAsia"/>
                <w:sz w:val="24"/>
                <w:szCs w:val="24"/>
                <w:lang w:val="en-US" w:eastAsia="zh-CN"/>
              </w:rPr>
            </w:pPr>
          </w:p>
        </w:tc>
        <w:tc>
          <w:tcPr>
            <w:tcW w:w="2321" w:type="dxa"/>
            <w:vAlign w:val="center"/>
          </w:tcPr>
          <w:p>
            <w:pPr>
              <w:keepNext w:val="0"/>
              <w:keepLines w:val="0"/>
              <w:pageBreakBefore w:val="0"/>
              <w:widowControl w:val="0"/>
              <w:kinsoku/>
              <w:wordWrap/>
              <w:overflowPunct/>
              <w:topLinePunct w:val="0"/>
              <w:autoSpaceDE/>
              <w:autoSpaceDN/>
              <w:bidi w:val="0"/>
              <w:adjustRightInd/>
              <w:snapToGrid/>
              <w:spacing w:line="400" w:lineRule="atLeast"/>
              <w:ind w:left="0" w:leftChars="0" w:firstLine="0" w:firstLineChars="0"/>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提出时间</w:t>
            </w:r>
          </w:p>
        </w:tc>
        <w:tc>
          <w:tcPr>
            <w:tcW w:w="2495"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atLeast"/>
              <w:ind w:left="0" w:leftChars="0" w:firstLine="0" w:firstLineChars="0"/>
              <w:jc w:val="both"/>
              <w:textAlignment w:val="auto"/>
              <w:rPr>
                <w:rFonts w:hint="eastAsia" w:asciiTheme="minorEastAsia" w:hAnsiTheme="minorEastAsia" w:eastAsiaTheme="minorEastAsia" w:cstheme="minorEastAsia"/>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906"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atLeast"/>
              <w:ind w:left="0" w:leftChars="0" w:firstLine="0" w:firstLineChars="0"/>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完成时间</w:t>
            </w:r>
          </w:p>
        </w:tc>
        <w:tc>
          <w:tcPr>
            <w:tcW w:w="1976" w:type="dxa"/>
            <w:vAlign w:val="center"/>
          </w:tcPr>
          <w:p>
            <w:pPr>
              <w:keepNext w:val="0"/>
              <w:keepLines w:val="0"/>
              <w:pageBreakBefore w:val="0"/>
              <w:widowControl w:val="0"/>
              <w:kinsoku/>
              <w:wordWrap/>
              <w:overflowPunct/>
              <w:topLinePunct w:val="0"/>
              <w:autoSpaceDE/>
              <w:autoSpaceDN/>
              <w:bidi w:val="0"/>
              <w:adjustRightInd/>
              <w:snapToGrid/>
              <w:spacing w:line="400" w:lineRule="atLeast"/>
              <w:ind w:left="0" w:leftChars="0" w:firstLine="0" w:firstLineChars="0"/>
              <w:jc w:val="both"/>
              <w:textAlignment w:val="auto"/>
              <w:rPr>
                <w:rFonts w:hint="eastAsia" w:asciiTheme="minorEastAsia" w:hAnsiTheme="minorEastAsia" w:eastAsiaTheme="minorEastAsia" w:cstheme="minorEastAsia"/>
                <w:sz w:val="24"/>
                <w:szCs w:val="24"/>
                <w:lang w:val="en-US" w:eastAsia="zh-CN"/>
              </w:rPr>
            </w:pPr>
          </w:p>
        </w:tc>
        <w:tc>
          <w:tcPr>
            <w:tcW w:w="2321" w:type="dxa"/>
            <w:vAlign w:val="center"/>
          </w:tcPr>
          <w:p>
            <w:pPr>
              <w:keepNext w:val="0"/>
              <w:keepLines w:val="0"/>
              <w:pageBreakBefore w:val="0"/>
              <w:widowControl w:val="0"/>
              <w:kinsoku/>
              <w:wordWrap/>
              <w:overflowPunct/>
              <w:topLinePunct w:val="0"/>
              <w:autoSpaceDE/>
              <w:autoSpaceDN/>
              <w:bidi w:val="0"/>
              <w:adjustRightInd/>
              <w:snapToGrid/>
              <w:spacing w:line="400" w:lineRule="atLeast"/>
              <w:ind w:left="0" w:leftChars="0" w:firstLine="0" w:firstLineChars="0"/>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模块名称</w:t>
            </w:r>
          </w:p>
        </w:tc>
        <w:tc>
          <w:tcPr>
            <w:tcW w:w="2495"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atLeast"/>
              <w:ind w:left="0" w:leftChars="0" w:firstLine="0" w:firstLineChars="0"/>
              <w:jc w:val="both"/>
              <w:textAlignment w:val="auto"/>
              <w:rPr>
                <w:rFonts w:hint="eastAsia" w:asciiTheme="minorEastAsia" w:hAnsiTheme="minorEastAsia" w:eastAsiaTheme="minorEastAsia" w:cstheme="minorEastAsia"/>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856" w:type="dxa"/>
            <w:vAlign w:val="center"/>
          </w:tcPr>
          <w:p>
            <w:pPr>
              <w:keepNext w:val="0"/>
              <w:keepLines w:val="0"/>
              <w:pageBreakBefore w:val="0"/>
              <w:widowControl w:val="0"/>
              <w:kinsoku/>
              <w:wordWrap/>
              <w:overflowPunct/>
              <w:topLinePunct w:val="0"/>
              <w:autoSpaceDE/>
              <w:autoSpaceDN/>
              <w:bidi w:val="0"/>
              <w:adjustRightInd/>
              <w:snapToGrid/>
              <w:spacing w:line="400" w:lineRule="atLeast"/>
              <w:ind w:left="0" w:leftChars="0" w:firstLine="0" w:firstLineChars="0"/>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合同编号</w:t>
            </w:r>
          </w:p>
        </w:tc>
        <w:tc>
          <w:tcPr>
            <w:tcW w:w="7842"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atLeast"/>
              <w:ind w:left="0" w:leftChars="0" w:firstLine="0" w:firstLineChars="0"/>
              <w:jc w:val="both"/>
              <w:textAlignment w:val="auto"/>
              <w:rPr>
                <w:rFonts w:hint="default" w:asciiTheme="minorEastAsia" w:hAnsiTheme="minorEastAsia" w:eastAsiaTheme="minorEastAsia" w:cstheme="minorEastAsia"/>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2" w:hRule="atLeast"/>
          <w:jc w:val="center"/>
        </w:trPr>
        <w:tc>
          <w:tcPr>
            <w:tcW w:w="856" w:type="dxa"/>
            <w:vMerge w:val="restart"/>
            <w:vAlign w:val="center"/>
          </w:tcPr>
          <w:p>
            <w:pPr>
              <w:keepNext w:val="0"/>
              <w:keepLines w:val="0"/>
              <w:pageBreakBefore w:val="0"/>
              <w:widowControl w:val="0"/>
              <w:kinsoku/>
              <w:wordWrap/>
              <w:overflowPunct/>
              <w:topLinePunct w:val="0"/>
              <w:autoSpaceDE/>
              <w:autoSpaceDN/>
              <w:bidi w:val="0"/>
              <w:adjustRightInd/>
              <w:snapToGrid/>
              <w:spacing w:line="400" w:lineRule="atLeast"/>
              <w:ind w:left="0" w:leftChars="0" w:firstLine="0" w:firstLineChars="0"/>
              <w:jc w:val="both"/>
              <w:textAlignment w:val="auto"/>
              <w:rPr>
                <w:rFonts w:hint="eastAsia" w:asciiTheme="minorEastAsia" w:hAnsiTheme="minorEastAsia" w:eastAsiaTheme="minorEastAsia" w:cstheme="minorEastAsia"/>
                <w:sz w:val="24"/>
                <w:szCs w:val="24"/>
                <w:lang w:val="en-US" w:eastAsia="zh-CN"/>
              </w:rPr>
            </w:pPr>
          </w:p>
        </w:tc>
        <w:tc>
          <w:tcPr>
            <w:tcW w:w="3026"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atLeast"/>
              <w:ind w:left="0" w:leftChars="0" w:firstLine="0" w:firstLineChars="0"/>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问题类型:</w:t>
            </w:r>
          </w:p>
          <w:p>
            <w:pPr>
              <w:keepNext w:val="0"/>
              <w:keepLines w:val="0"/>
              <w:pageBreakBefore w:val="0"/>
              <w:widowControl w:val="0"/>
              <w:kinsoku/>
              <w:wordWrap/>
              <w:overflowPunct/>
              <w:topLinePunct w:val="0"/>
              <w:autoSpaceDE/>
              <w:autoSpaceDN/>
              <w:bidi w:val="0"/>
              <w:adjustRightInd/>
              <w:snapToGrid/>
              <w:spacing w:line="400" w:lineRule="atLeast"/>
              <w:ind w:left="0" w:leftChars="0" w:firstLine="0" w:firstLineChars="0"/>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1.BUG问题</w:t>
            </w:r>
          </w:p>
          <w:p>
            <w:pPr>
              <w:keepNext w:val="0"/>
              <w:keepLines w:val="0"/>
              <w:pageBreakBefore w:val="0"/>
              <w:widowControl w:val="0"/>
              <w:kinsoku/>
              <w:wordWrap/>
              <w:overflowPunct/>
              <w:topLinePunct w:val="0"/>
              <w:autoSpaceDE/>
              <w:autoSpaceDN/>
              <w:bidi w:val="0"/>
              <w:adjustRightInd/>
              <w:snapToGrid/>
              <w:spacing w:line="400" w:lineRule="atLeast"/>
              <w:ind w:left="0" w:leftChars="0" w:firstLine="0" w:firstLineChars="0"/>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2.反复BUG</w:t>
            </w:r>
          </w:p>
          <w:p>
            <w:pPr>
              <w:keepNext w:val="0"/>
              <w:keepLines w:val="0"/>
              <w:pageBreakBefore w:val="0"/>
              <w:widowControl w:val="0"/>
              <w:kinsoku/>
              <w:wordWrap/>
              <w:overflowPunct/>
              <w:topLinePunct w:val="0"/>
              <w:autoSpaceDE/>
              <w:autoSpaceDN/>
              <w:bidi w:val="0"/>
              <w:adjustRightInd/>
              <w:snapToGrid/>
              <w:spacing w:line="400" w:lineRule="atLeast"/>
              <w:ind w:left="0" w:leftChars="0" w:firstLine="0" w:firstLineChars="0"/>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3.新功能</w:t>
            </w:r>
          </w:p>
          <w:p>
            <w:pPr>
              <w:keepNext w:val="0"/>
              <w:keepLines w:val="0"/>
              <w:pageBreakBefore w:val="0"/>
              <w:widowControl w:val="0"/>
              <w:kinsoku/>
              <w:wordWrap/>
              <w:overflowPunct/>
              <w:topLinePunct w:val="0"/>
              <w:autoSpaceDE/>
              <w:autoSpaceDN/>
              <w:bidi w:val="0"/>
              <w:adjustRightInd/>
              <w:snapToGrid/>
              <w:spacing w:line="400" w:lineRule="atLeast"/>
              <w:ind w:left="0" w:leftChars="0" w:firstLine="0" w:firstLineChars="0"/>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4.特殊需求</w:t>
            </w:r>
          </w:p>
        </w:tc>
        <w:tc>
          <w:tcPr>
            <w:tcW w:w="2321" w:type="dxa"/>
            <w:vAlign w:val="center"/>
          </w:tcPr>
          <w:p>
            <w:pPr>
              <w:keepNext w:val="0"/>
              <w:keepLines w:val="0"/>
              <w:pageBreakBefore w:val="0"/>
              <w:widowControl w:val="0"/>
              <w:kinsoku/>
              <w:wordWrap/>
              <w:overflowPunct/>
              <w:topLinePunct w:val="0"/>
              <w:autoSpaceDE/>
              <w:autoSpaceDN/>
              <w:bidi w:val="0"/>
              <w:adjustRightInd/>
              <w:snapToGrid/>
              <w:spacing w:line="400" w:lineRule="atLeast"/>
              <w:ind w:left="0" w:leftChars="0" w:firstLine="0" w:firstLineChars="0"/>
              <w:jc w:val="both"/>
              <w:textAlignment w:val="auto"/>
              <w:rPr>
                <w:rFonts w:hint="eastAsia" w:asciiTheme="minorEastAsia" w:hAnsiTheme="minorEastAsia" w:eastAsiaTheme="minorEastAsia" w:cstheme="minorEastAsia"/>
                <w:sz w:val="24"/>
                <w:szCs w:val="24"/>
                <w:lang w:val="en-US" w:eastAsia="zh-CN"/>
              </w:rPr>
            </w:pPr>
          </w:p>
        </w:tc>
        <w:tc>
          <w:tcPr>
            <w:tcW w:w="1177" w:type="dxa"/>
            <w:vAlign w:val="center"/>
          </w:tcPr>
          <w:p>
            <w:pPr>
              <w:keepNext w:val="0"/>
              <w:keepLines w:val="0"/>
              <w:pageBreakBefore w:val="0"/>
              <w:widowControl w:val="0"/>
              <w:kinsoku/>
              <w:wordWrap/>
              <w:overflowPunct/>
              <w:topLinePunct w:val="0"/>
              <w:autoSpaceDE/>
              <w:autoSpaceDN/>
              <w:bidi w:val="0"/>
              <w:adjustRightInd/>
              <w:snapToGrid/>
              <w:spacing w:line="400" w:lineRule="atLeast"/>
              <w:ind w:left="0" w:leftChars="0" w:firstLine="0" w:firstLineChars="0"/>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时间要求</w:t>
            </w:r>
          </w:p>
        </w:tc>
        <w:tc>
          <w:tcPr>
            <w:tcW w:w="1318" w:type="dxa"/>
            <w:vAlign w:val="center"/>
          </w:tcPr>
          <w:p>
            <w:pPr>
              <w:keepNext w:val="0"/>
              <w:keepLines w:val="0"/>
              <w:pageBreakBefore w:val="0"/>
              <w:widowControl w:val="0"/>
              <w:kinsoku/>
              <w:wordWrap/>
              <w:overflowPunct/>
              <w:topLinePunct w:val="0"/>
              <w:autoSpaceDE/>
              <w:autoSpaceDN/>
              <w:bidi w:val="0"/>
              <w:adjustRightInd/>
              <w:snapToGrid/>
              <w:spacing w:line="400" w:lineRule="atLeast"/>
              <w:ind w:left="0" w:leftChars="0" w:firstLine="0" w:firstLineChars="0"/>
              <w:jc w:val="both"/>
              <w:textAlignment w:val="auto"/>
              <w:rPr>
                <w:rFonts w:hint="default" w:asciiTheme="minorEastAsia" w:hAnsiTheme="minorEastAsia" w:eastAsiaTheme="minorEastAsia" w:cstheme="minorEastAsia"/>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1" w:hRule="atLeast"/>
          <w:jc w:val="center"/>
        </w:trPr>
        <w:tc>
          <w:tcPr>
            <w:tcW w:w="856"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atLeast"/>
              <w:ind w:left="0" w:leftChars="0" w:firstLine="0" w:firstLineChars="0"/>
              <w:jc w:val="both"/>
              <w:textAlignment w:val="auto"/>
              <w:rPr>
                <w:rFonts w:hint="eastAsia" w:asciiTheme="minorEastAsia" w:hAnsiTheme="minorEastAsia" w:eastAsiaTheme="minorEastAsia" w:cstheme="minorEastAsia"/>
                <w:sz w:val="24"/>
                <w:szCs w:val="24"/>
                <w:lang w:val="en-US" w:eastAsia="zh-CN"/>
              </w:rPr>
            </w:pPr>
          </w:p>
        </w:tc>
        <w:tc>
          <w:tcPr>
            <w:tcW w:w="7842"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atLeast"/>
              <w:ind w:left="0" w:leftChars="0" w:firstLine="0" w:firstLineChars="0"/>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需求描述：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9" w:hRule="atLeast"/>
          <w:jc w:val="center"/>
        </w:trPr>
        <w:tc>
          <w:tcPr>
            <w:tcW w:w="856"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atLeast"/>
              <w:ind w:left="0" w:leftChars="0" w:firstLine="0" w:firstLineChars="0"/>
              <w:jc w:val="both"/>
              <w:textAlignment w:val="auto"/>
              <w:rPr>
                <w:rFonts w:hint="eastAsia" w:asciiTheme="minorEastAsia" w:hAnsiTheme="minorEastAsia" w:eastAsiaTheme="minorEastAsia" w:cstheme="minorEastAsia"/>
                <w:sz w:val="24"/>
                <w:szCs w:val="24"/>
                <w:lang w:val="en-US" w:eastAsia="zh-CN"/>
              </w:rPr>
            </w:pPr>
          </w:p>
        </w:tc>
        <w:tc>
          <w:tcPr>
            <w:tcW w:w="7842"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atLeast"/>
              <w:ind w:left="0" w:leftChars="0" w:firstLine="0" w:firstLineChars="0"/>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需求分析: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4" w:hRule="atLeast"/>
          <w:jc w:val="center"/>
        </w:trPr>
        <w:tc>
          <w:tcPr>
            <w:tcW w:w="856"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atLeast"/>
              <w:ind w:left="0" w:leftChars="0" w:firstLine="0" w:firstLineChars="0"/>
              <w:jc w:val="both"/>
              <w:textAlignment w:val="auto"/>
              <w:rPr>
                <w:rFonts w:hint="eastAsia" w:asciiTheme="minorEastAsia" w:hAnsiTheme="minorEastAsia" w:eastAsiaTheme="minorEastAsia" w:cstheme="minorEastAsia"/>
                <w:sz w:val="24"/>
                <w:szCs w:val="24"/>
                <w:lang w:val="en-US" w:eastAsia="zh-CN"/>
              </w:rPr>
            </w:pPr>
          </w:p>
        </w:tc>
        <w:tc>
          <w:tcPr>
            <w:tcW w:w="7842"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atLeast"/>
              <w:ind w:left="0" w:leftChars="0" w:firstLine="0" w:firstLineChars="0"/>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需求修改方案: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4" w:hRule="atLeast"/>
          <w:jc w:val="center"/>
        </w:trPr>
        <w:tc>
          <w:tcPr>
            <w:tcW w:w="8698"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atLeast"/>
              <w:ind w:left="0" w:leftChars="0" w:firstLine="0" w:firstLineChars="0"/>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备注:</w:t>
            </w:r>
          </w:p>
          <w:p>
            <w:pPr>
              <w:keepNext w:val="0"/>
              <w:keepLines w:val="0"/>
              <w:pageBreakBefore w:val="0"/>
              <w:widowControl w:val="0"/>
              <w:kinsoku/>
              <w:wordWrap/>
              <w:overflowPunct/>
              <w:topLinePunct w:val="0"/>
              <w:autoSpaceDE/>
              <w:autoSpaceDN/>
              <w:bidi w:val="0"/>
              <w:adjustRightInd/>
              <w:snapToGrid/>
              <w:spacing w:line="400" w:lineRule="atLeast"/>
              <w:ind w:left="0" w:leftChars="0" w:firstLine="0" w:firstLineChars="0"/>
              <w:jc w:val="both"/>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以上客户化需求为医院的最终需求：</w:t>
            </w:r>
          </w:p>
          <w:p>
            <w:pPr>
              <w:keepNext w:val="0"/>
              <w:keepLines w:val="0"/>
              <w:pageBreakBefore w:val="0"/>
              <w:widowControl w:val="0"/>
              <w:kinsoku/>
              <w:wordWrap/>
              <w:overflowPunct/>
              <w:topLinePunct w:val="0"/>
              <w:autoSpaceDE/>
              <w:autoSpaceDN/>
              <w:bidi w:val="0"/>
              <w:adjustRightInd/>
              <w:snapToGrid/>
              <w:spacing w:line="400" w:lineRule="atLeast"/>
              <w:ind w:left="0" w:leftChars="0" w:firstLine="0" w:firstLineChars="0"/>
              <w:jc w:val="both"/>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承诺于       年    月     日之前提交修改后的软件并进入现场调试。</w:t>
            </w:r>
          </w:p>
        </w:tc>
      </w:tr>
    </w:tbl>
    <w:p>
      <w:pPr>
        <w:pStyle w:val="3"/>
        <w:tabs>
          <w:tab w:val="left" w:pos="360"/>
        </w:tabs>
        <w:rPr>
          <w:rFonts w:hint="eastAsia"/>
          <w:lang w:val="en-US" w:eastAsia="zh-CN"/>
        </w:rPr>
      </w:pPr>
    </w:p>
    <w:p>
      <w:pPr>
        <w:pStyle w:val="8"/>
        <w:bidi w:val="0"/>
        <w:outlineLvl w:val="1"/>
        <w:rPr>
          <w:rFonts w:hint="eastAsia"/>
        </w:rPr>
      </w:pPr>
      <w:r>
        <w:rPr>
          <w:rFonts w:hint="eastAsia"/>
          <w:lang w:val="en-US" w:eastAsia="zh-CN"/>
        </w:rPr>
        <w:t>考核评价表</w:t>
      </w:r>
    </w:p>
    <w:p>
      <w:pPr>
        <w:ind w:left="0" w:leftChars="0" w:firstLine="0" w:firstLineChars="0"/>
        <w:rPr>
          <w:rFonts w:hint="eastAsia"/>
          <w:highlight w:val="yellow"/>
          <w:lang w:val="en-US" w:eastAsia="zh-CN"/>
        </w:rPr>
      </w:pPr>
    </w:p>
    <w:p>
      <w:pPr>
        <w:ind w:right="942" w:rightChars="428" w:firstLine="482"/>
        <w:jc w:val="center"/>
        <w:rPr>
          <w:rFonts w:hint="eastAsia" w:asciiTheme="minorEastAsia" w:hAnsiTheme="minorEastAsia" w:eastAsiaTheme="minorEastAsia" w:cstheme="minorEastAsia"/>
          <w:b/>
          <w:sz w:val="24"/>
          <w:szCs w:val="24"/>
          <w:lang w:val="en-US" w:eastAsia="zh-CN"/>
        </w:rPr>
      </w:pPr>
      <w:r>
        <w:rPr>
          <w:rFonts w:hint="eastAsia" w:asciiTheme="minorEastAsia" w:hAnsiTheme="minorEastAsia" w:eastAsiaTheme="minorEastAsia" w:cstheme="minorEastAsia"/>
          <w:b/>
          <w:sz w:val="24"/>
          <w:szCs w:val="24"/>
          <w:lang w:val="en-US" w:eastAsia="zh-CN"/>
        </w:rPr>
        <w:t>青海红十字医院</w:t>
      </w:r>
    </w:p>
    <w:p>
      <w:pPr>
        <w:ind w:right="942" w:rightChars="428" w:firstLine="482"/>
        <w:jc w:val="center"/>
        <w:rPr>
          <w:rFonts w:hint="eastAsia" w:asciiTheme="minorEastAsia" w:hAnsiTheme="minorEastAsia" w:eastAsiaTheme="minorEastAsia" w:cstheme="minorEastAsia"/>
          <w:b/>
          <w:sz w:val="24"/>
          <w:szCs w:val="24"/>
          <w:lang w:val="en-US" w:eastAsia="zh-CN"/>
        </w:rPr>
      </w:pPr>
      <w:r>
        <w:rPr>
          <w:rFonts w:hint="eastAsia" w:asciiTheme="minorEastAsia" w:hAnsiTheme="minorEastAsia" w:eastAsiaTheme="minorEastAsia" w:cstheme="minorEastAsia"/>
          <w:b/>
          <w:sz w:val="24"/>
          <w:szCs w:val="24"/>
          <w:lang w:val="en-US" w:eastAsia="zh-CN"/>
        </w:rPr>
        <w:t>服务商监督考核评价打分表</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13"/>
        <w:gridCol w:w="549"/>
        <w:gridCol w:w="961"/>
        <w:gridCol w:w="1413"/>
        <w:gridCol w:w="1494"/>
        <w:gridCol w:w="6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3"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r>
              <w:rPr>
                <w:rFonts w:hint="eastAsia" w:ascii="Calibri" w:hAnsi="Calibri" w:eastAsia="宋体" w:cs="Times New Roman"/>
                <w:kern w:val="2"/>
                <w:sz w:val="24"/>
                <w:szCs w:val="24"/>
                <w:lang w:val="en-US" w:eastAsia="zh-CN"/>
              </w:rPr>
              <w:t>合同名称：</w:t>
            </w:r>
          </w:p>
        </w:tc>
        <w:tc>
          <w:tcPr>
            <w:tcW w:w="5109" w:type="dxa"/>
            <w:gridSpan w:val="5"/>
            <w:noWrap w:val="0"/>
            <w:vAlign w:val="top"/>
          </w:tcPr>
          <w:p>
            <w:pPr>
              <w:pStyle w:val="3"/>
              <w:widowControl w:val="0"/>
              <w:tabs>
                <w:tab w:val="left" w:pos="360"/>
              </w:tabs>
              <w:adjustRightInd/>
              <w:snapToGrid/>
              <w:spacing w:after="120" w:line="240" w:lineRule="auto"/>
              <w:ind w:left="0" w:firstLine="0" w:firstLineChars="0"/>
              <w:jc w:val="left"/>
              <w:rPr>
                <w:rFonts w:hint="default" w:ascii="Calibri" w:hAnsi="Calibri" w:eastAsia="宋体" w:cs="Times New Roman"/>
                <w:kern w:val="2"/>
                <w:sz w:val="24"/>
                <w:szCs w:val="24"/>
                <w:lang w:val="en-US" w:eastAsia="zh-CN"/>
              </w:rPr>
            </w:pPr>
            <w:r>
              <w:rPr>
                <w:rFonts w:hint="eastAsia" w:ascii="Calibri" w:hAnsi="Calibri" w:eastAsia="宋体" w:cs="Times New Roman"/>
                <w:kern w:val="2"/>
                <w:sz w:val="24"/>
                <w:szCs w:val="24"/>
                <w:lang w:val="en-US" w:eastAsia="zh-CN"/>
              </w:rPr>
              <w:t>合同编号：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3"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r>
              <w:rPr>
                <w:rFonts w:hint="eastAsia" w:ascii="Calibri" w:hAnsi="Calibri" w:eastAsia="宋体" w:cs="Times New Roman"/>
                <w:kern w:val="2"/>
                <w:sz w:val="24"/>
                <w:szCs w:val="24"/>
                <w:lang w:val="en-US" w:eastAsia="zh-CN"/>
              </w:rPr>
              <w:t>服务商名称：</w:t>
            </w:r>
          </w:p>
        </w:tc>
        <w:tc>
          <w:tcPr>
            <w:tcW w:w="5109" w:type="dxa"/>
            <w:gridSpan w:val="5"/>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r>
              <w:rPr>
                <w:rFonts w:hint="eastAsia" w:ascii="Calibri" w:hAnsi="Calibri" w:eastAsia="宋体" w:cs="Times New Roman"/>
                <w:kern w:val="2"/>
                <w:sz w:val="24"/>
                <w:szCs w:val="24"/>
                <w:lang w:val="en-US" w:eastAsia="zh-CN"/>
              </w:rPr>
              <w:t>考核评价时间：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3413" w:type="dxa"/>
            <w:noWrap w:val="0"/>
            <w:vAlign w:val="center"/>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r>
              <w:rPr>
                <w:rFonts w:hint="eastAsia" w:ascii="Calibri" w:hAnsi="Calibri" w:eastAsia="宋体" w:cs="Times New Roman"/>
                <w:kern w:val="2"/>
                <w:sz w:val="24"/>
                <w:szCs w:val="24"/>
                <w:lang w:val="en-US" w:eastAsia="zh-CN"/>
              </w:rPr>
              <w:t>考核描述</w:t>
            </w:r>
          </w:p>
        </w:tc>
        <w:tc>
          <w:tcPr>
            <w:tcW w:w="1510" w:type="dxa"/>
            <w:gridSpan w:val="2"/>
            <w:noWrap w:val="0"/>
            <w:vAlign w:val="center"/>
          </w:tcPr>
          <w:p>
            <w:pPr>
              <w:pStyle w:val="3"/>
              <w:widowControl w:val="0"/>
              <w:tabs>
                <w:tab w:val="left" w:pos="360"/>
              </w:tabs>
              <w:adjustRightInd/>
              <w:snapToGrid/>
              <w:spacing w:after="120" w:line="240" w:lineRule="auto"/>
              <w:ind w:left="0" w:firstLine="0" w:firstLineChars="0"/>
              <w:jc w:val="left"/>
              <w:rPr>
                <w:rFonts w:hint="default" w:ascii="Calibri" w:hAnsi="Calibri" w:eastAsia="宋体" w:cs="Times New Roman"/>
                <w:kern w:val="2"/>
                <w:sz w:val="24"/>
                <w:szCs w:val="24"/>
                <w:lang w:val="en-US" w:eastAsia="zh-CN"/>
              </w:rPr>
            </w:pPr>
            <w:r>
              <w:rPr>
                <w:rFonts w:hint="eastAsia" w:ascii="Calibri" w:hAnsi="Calibri" w:eastAsia="宋体" w:cs="Times New Roman"/>
                <w:kern w:val="2"/>
                <w:sz w:val="24"/>
                <w:szCs w:val="24"/>
                <w:lang w:val="en-US" w:eastAsia="zh-CN"/>
              </w:rPr>
              <w:t>不满意（0~79分）</w:t>
            </w:r>
          </w:p>
        </w:tc>
        <w:tc>
          <w:tcPr>
            <w:tcW w:w="1413" w:type="dxa"/>
            <w:noWrap w:val="0"/>
            <w:vAlign w:val="center"/>
          </w:tcPr>
          <w:p>
            <w:pPr>
              <w:pStyle w:val="3"/>
              <w:widowControl w:val="0"/>
              <w:tabs>
                <w:tab w:val="left" w:pos="360"/>
              </w:tabs>
              <w:adjustRightInd/>
              <w:snapToGrid/>
              <w:spacing w:after="120" w:line="240" w:lineRule="auto"/>
              <w:ind w:left="0" w:firstLine="0" w:firstLineChars="0"/>
              <w:jc w:val="left"/>
              <w:rPr>
                <w:rFonts w:hint="default" w:ascii="Calibri" w:hAnsi="Calibri" w:eastAsia="宋体" w:cs="Times New Roman"/>
                <w:kern w:val="2"/>
                <w:sz w:val="24"/>
                <w:szCs w:val="24"/>
                <w:lang w:val="en-US" w:eastAsia="zh-CN"/>
              </w:rPr>
            </w:pPr>
            <w:r>
              <w:rPr>
                <w:rFonts w:hint="eastAsia" w:ascii="Calibri" w:hAnsi="Calibri" w:eastAsia="宋体" w:cs="Times New Roman"/>
                <w:kern w:val="2"/>
                <w:sz w:val="24"/>
                <w:szCs w:val="24"/>
                <w:lang w:val="en-US" w:eastAsia="zh-CN"/>
              </w:rPr>
              <w:t>基本满意（80~89）</w:t>
            </w:r>
          </w:p>
        </w:tc>
        <w:tc>
          <w:tcPr>
            <w:tcW w:w="1494" w:type="dxa"/>
            <w:noWrap w:val="0"/>
            <w:vAlign w:val="center"/>
          </w:tcPr>
          <w:p>
            <w:pPr>
              <w:pStyle w:val="3"/>
              <w:widowControl w:val="0"/>
              <w:tabs>
                <w:tab w:val="left" w:pos="360"/>
              </w:tabs>
              <w:adjustRightInd/>
              <w:snapToGrid/>
              <w:spacing w:after="120" w:line="240" w:lineRule="auto"/>
              <w:ind w:left="0" w:firstLine="0" w:firstLineChars="0"/>
              <w:jc w:val="left"/>
              <w:rPr>
                <w:rFonts w:hint="default" w:ascii="Calibri" w:hAnsi="Calibri" w:eastAsia="宋体" w:cs="Times New Roman"/>
                <w:kern w:val="2"/>
                <w:sz w:val="24"/>
                <w:szCs w:val="24"/>
                <w:lang w:val="en-US" w:eastAsia="zh-CN"/>
              </w:rPr>
            </w:pPr>
            <w:r>
              <w:rPr>
                <w:rFonts w:hint="eastAsia" w:ascii="Calibri" w:hAnsi="Calibri" w:eastAsia="宋体" w:cs="Times New Roman"/>
                <w:kern w:val="2"/>
                <w:sz w:val="24"/>
                <w:szCs w:val="24"/>
                <w:lang w:val="en-US" w:eastAsia="zh-CN"/>
              </w:rPr>
              <w:t>满意（90~100）</w:t>
            </w:r>
          </w:p>
        </w:tc>
        <w:tc>
          <w:tcPr>
            <w:tcW w:w="692" w:type="dxa"/>
            <w:noWrap w:val="0"/>
            <w:vAlign w:val="center"/>
          </w:tcPr>
          <w:p>
            <w:pPr>
              <w:pStyle w:val="3"/>
              <w:widowControl w:val="0"/>
              <w:tabs>
                <w:tab w:val="left" w:pos="360"/>
              </w:tabs>
              <w:adjustRightInd/>
              <w:snapToGrid/>
              <w:spacing w:after="120" w:line="240" w:lineRule="auto"/>
              <w:ind w:left="0" w:firstLine="0" w:firstLineChars="0"/>
              <w:jc w:val="left"/>
              <w:rPr>
                <w:rFonts w:hint="default" w:ascii="Calibri" w:hAnsi="Calibri" w:eastAsia="宋体" w:cs="Times New Roman"/>
                <w:kern w:val="2"/>
                <w:sz w:val="24"/>
                <w:szCs w:val="24"/>
                <w:lang w:val="en-US" w:eastAsia="zh-CN"/>
              </w:rPr>
            </w:pPr>
            <w:r>
              <w:rPr>
                <w:rFonts w:hint="eastAsia" w:ascii="Calibri" w:hAnsi="Calibri" w:eastAsia="宋体" w:cs="Times New Roman"/>
                <w:kern w:val="2"/>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413" w:type="dxa"/>
            <w:noWrap w:val="0"/>
            <w:vAlign w:val="top"/>
          </w:tcPr>
          <w:p>
            <w:pPr>
              <w:pStyle w:val="3"/>
              <w:widowControl w:val="0"/>
              <w:tabs>
                <w:tab w:val="left" w:pos="360"/>
              </w:tabs>
              <w:adjustRightInd/>
              <w:snapToGrid/>
              <w:spacing w:after="120" w:line="240" w:lineRule="auto"/>
              <w:ind w:left="0" w:firstLine="0" w:firstLineChars="0"/>
              <w:jc w:val="left"/>
              <w:rPr>
                <w:rFonts w:hint="default" w:ascii="Calibri" w:hAnsi="Calibri" w:eastAsia="宋体" w:cs="Times New Roman"/>
                <w:kern w:val="2"/>
                <w:sz w:val="24"/>
                <w:szCs w:val="24"/>
                <w:lang w:val="en-US" w:eastAsia="zh-CN"/>
              </w:rPr>
            </w:pPr>
            <w:r>
              <w:rPr>
                <w:rFonts w:hint="eastAsia" w:ascii="Calibri" w:hAnsi="Calibri" w:eastAsia="宋体" w:cs="Times New Roman"/>
                <w:kern w:val="2"/>
                <w:sz w:val="24"/>
                <w:szCs w:val="24"/>
                <w:lang w:val="en-US" w:eastAsia="zh-CN"/>
              </w:rPr>
              <w:t>每次（月度）的巡检服务</w:t>
            </w:r>
          </w:p>
        </w:tc>
        <w:tc>
          <w:tcPr>
            <w:tcW w:w="1510" w:type="dxa"/>
            <w:gridSpan w:val="2"/>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c>
          <w:tcPr>
            <w:tcW w:w="1413"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c>
          <w:tcPr>
            <w:tcW w:w="1494"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c>
          <w:tcPr>
            <w:tcW w:w="692"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413"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r>
              <w:rPr>
                <w:rFonts w:hint="eastAsia" w:ascii="Calibri" w:hAnsi="Calibri" w:eastAsia="宋体" w:cs="Times New Roman"/>
                <w:kern w:val="2"/>
                <w:sz w:val="24"/>
                <w:szCs w:val="24"/>
                <w:lang w:val="en-US" w:eastAsia="zh-CN"/>
              </w:rPr>
              <w:t>热线电话技术支持服务</w:t>
            </w:r>
          </w:p>
        </w:tc>
        <w:tc>
          <w:tcPr>
            <w:tcW w:w="1510" w:type="dxa"/>
            <w:gridSpan w:val="2"/>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c>
          <w:tcPr>
            <w:tcW w:w="1413"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c>
          <w:tcPr>
            <w:tcW w:w="1494"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c>
          <w:tcPr>
            <w:tcW w:w="692"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413"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r>
              <w:rPr>
                <w:rFonts w:hint="eastAsia" w:ascii="Calibri" w:hAnsi="Calibri" w:eastAsia="宋体" w:cs="Times New Roman"/>
                <w:kern w:val="2"/>
                <w:sz w:val="24"/>
                <w:szCs w:val="24"/>
                <w:lang w:val="en-US" w:eastAsia="zh-CN"/>
              </w:rPr>
              <w:t>紧急现场服务</w:t>
            </w:r>
          </w:p>
        </w:tc>
        <w:tc>
          <w:tcPr>
            <w:tcW w:w="1510" w:type="dxa"/>
            <w:gridSpan w:val="2"/>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c>
          <w:tcPr>
            <w:tcW w:w="1413"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c>
          <w:tcPr>
            <w:tcW w:w="1494"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c>
          <w:tcPr>
            <w:tcW w:w="692"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413"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r>
              <w:rPr>
                <w:rFonts w:hint="eastAsia" w:ascii="Calibri" w:hAnsi="Calibri" w:eastAsia="宋体" w:cs="Times New Roman"/>
                <w:kern w:val="2"/>
                <w:sz w:val="24"/>
                <w:szCs w:val="24"/>
                <w:lang w:val="en-US" w:eastAsia="zh-CN"/>
              </w:rPr>
              <w:t>排障服务的质量</w:t>
            </w:r>
          </w:p>
        </w:tc>
        <w:tc>
          <w:tcPr>
            <w:tcW w:w="1510" w:type="dxa"/>
            <w:gridSpan w:val="2"/>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c>
          <w:tcPr>
            <w:tcW w:w="1413"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c>
          <w:tcPr>
            <w:tcW w:w="1494"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c>
          <w:tcPr>
            <w:tcW w:w="692"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413"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r>
              <w:rPr>
                <w:rFonts w:hint="eastAsia" w:ascii="Calibri" w:hAnsi="Calibri" w:eastAsia="宋体" w:cs="Times New Roman"/>
                <w:kern w:val="2"/>
                <w:sz w:val="24"/>
                <w:szCs w:val="24"/>
                <w:lang w:val="en-US" w:eastAsia="zh-CN"/>
              </w:rPr>
              <w:t>同样问题或故障是否重复出现</w:t>
            </w:r>
          </w:p>
        </w:tc>
        <w:tc>
          <w:tcPr>
            <w:tcW w:w="1510" w:type="dxa"/>
            <w:gridSpan w:val="2"/>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c>
          <w:tcPr>
            <w:tcW w:w="1413"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c>
          <w:tcPr>
            <w:tcW w:w="1494"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c>
          <w:tcPr>
            <w:tcW w:w="692"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3413"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r>
              <w:rPr>
                <w:rFonts w:hint="eastAsia" w:ascii="Calibri" w:hAnsi="Calibri" w:eastAsia="宋体" w:cs="Times New Roman"/>
                <w:kern w:val="2"/>
                <w:sz w:val="24"/>
                <w:szCs w:val="24"/>
                <w:lang w:val="en-US" w:eastAsia="zh-CN"/>
              </w:rPr>
              <w:t>升级服务质量</w:t>
            </w:r>
          </w:p>
        </w:tc>
        <w:tc>
          <w:tcPr>
            <w:tcW w:w="1510" w:type="dxa"/>
            <w:gridSpan w:val="2"/>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c>
          <w:tcPr>
            <w:tcW w:w="1413"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c>
          <w:tcPr>
            <w:tcW w:w="1494"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c>
          <w:tcPr>
            <w:tcW w:w="692"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413"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r>
              <w:rPr>
                <w:rFonts w:hint="eastAsia" w:ascii="Calibri" w:hAnsi="Calibri" w:eastAsia="宋体" w:cs="Times New Roman"/>
                <w:kern w:val="2"/>
                <w:sz w:val="24"/>
                <w:szCs w:val="24"/>
                <w:lang w:val="en-US" w:eastAsia="zh-CN"/>
              </w:rPr>
              <w:t>工程师的技术水平</w:t>
            </w:r>
          </w:p>
        </w:tc>
        <w:tc>
          <w:tcPr>
            <w:tcW w:w="1510" w:type="dxa"/>
            <w:gridSpan w:val="2"/>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c>
          <w:tcPr>
            <w:tcW w:w="1413"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c>
          <w:tcPr>
            <w:tcW w:w="1494"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c>
          <w:tcPr>
            <w:tcW w:w="692"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413"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r>
              <w:rPr>
                <w:rFonts w:hint="eastAsia" w:ascii="Calibri" w:hAnsi="Calibri" w:eastAsia="宋体" w:cs="Times New Roman"/>
                <w:kern w:val="2"/>
                <w:sz w:val="24"/>
                <w:szCs w:val="24"/>
                <w:lang w:val="en-US" w:eastAsia="zh-CN"/>
              </w:rPr>
              <w:t>技术培训</w:t>
            </w:r>
          </w:p>
        </w:tc>
        <w:tc>
          <w:tcPr>
            <w:tcW w:w="1510" w:type="dxa"/>
            <w:gridSpan w:val="2"/>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c>
          <w:tcPr>
            <w:tcW w:w="1413"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c>
          <w:tcPr>
            <w:tcW w:w="1494"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c>
          <w:tcPr>
            <w:tcW w:w="692"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413" w:type="dxa"/>
            <w:noWrap w:val="0"/>
            <w:vAlign w:val="top"/>
          </w:tcPr>
          <w:p>
            <w:pPr>
              <w:pStyle w:val="3"/>
              <w:widowControl w:val="0"/>
              <w:tabs>
                <w:tab w:val="left" w:pos="360"/>
              </w:tabs>
              <w:adjustRightInd/>
              <w:snapToGrid/>
              <w:spacing w:after="120" w:line="240" w:lineRule="auto"/>
              <w:ind w:left="0" w:firstLine="0" w:firstLineChars="0"/>
              <w:jc w:val="left"/>
              <w:rPr>
                <w:rFonts w:hint="default" w:ascii="Calibri" w:hAnsi="Calibri" w:eastAsia="宋体" w:cs="Times New Roman"/>
                <w:kern w:val="2"/>
                <w:sz w:val="24"/>
                <w:szCs w:val="24"/>
                <w:lang w:val="en-US" w:eastAsia="zh-CN"/>
              </w:rPr>
            </w:pPr>
            <w:r>
              <w:rPr>
                <w:rFonts w:hint="eastAsia" w:ascii="Calibri" w:hAnsi="Calibri" w:eastAsia="宋体" w:cs="Times New Roman"/>
                <w:kern w:val="2"/>
                <w:sz w:val="24"/>
                <w:szCs w:val="24"/>
                <w:lang w:val="en-US" w:eastAsia="zh-CN"/>
              </w:rPr>
              <w:t>...</w:t>
            </w:r>
          </w:p>
        </w:tc>
        <w:tc>
          <w:tcPr>
            <w:tcW w:w="1510" w:type="dxa"/>
            <w:gridSpan w:val="2"/>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c>
          <w:tcPr>
            <w:tcW w:w="1413"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c>
          <w:tcPr>
            <w:tcW w:w="1494"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c>
          <w:tcPr>
            <w:tcW w:w="692"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413"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r>
              <w:rPr>
                <w:rFonts w:hint="eastAsia" w:ascii="Calibri" w:hAnsi="Calibri" w:eastAsia="宋体" w:cs="Times New Roman"/>
                <w:kern w:val="2"/>
                <w:sz w:val="24"/>
                <w:szCs w:val="24"/>
                <w:lang w:val="en-US" w:eastAsia="zh-CN"/>
              </w:rPr>
              <w:t>现场服务情况</w:t>
            </w:r>
          </w:p>
        </w:tc>
        <w:tc>
          <w:tcPr>
            <w:tcW w:w="1510" w:type="dxa"/>
            <w:gridSpan w:val="2"/>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c>
          <w:tcPr>
            <w:tcW w:w="1413"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c>
          <w:tcPr>
            <w:tcW w:w="1494"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c>
          <w:tcPr>
            <w:tcW w:w="692"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413"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r>
              <w:rPr>
                <w:rFonts w:hint="eastAsia" w:ascii="Calibri" w:hAnsi="Calibri" w:eastAsia="宋体" w:cs="Times New Roman"/>
                <w:kern w:val="2"/>
                <w:sz w:val="24"/>
                <w:szCs w:val="24"/>
                <w:lang w:val="en-US" w:eastAsia="zh-CN"/>
              </w:rPr>
              <w:t>服务改进措施</w:t>
            </w:r>
          </w:p>
        </w:tc>
        <w:tc>
          <w:tcPr>
            <w:tcW w:w="1510" w:type="dxa"/>
            <w:gridSpan w:val="2"/>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c>
          <w:tcPr>
            <w:tcW w:w="1413"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c>
          <w:tcPr>
            <w:tcW w:w="1494"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c>
          <w:tcPr>
            <w:tcW w:w="692" w:type="dxa"/>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3413" w:type="dxa"/>
            <w:noWrap w:val="0"/>
            <w:vAlign w:val="top"/>
          </w:tcPr>
          <w:p>
            <w:pPr>
              <w:pStyle w:val="3"/>
              <w:widowControl w:val="0"/>
              <w:tabs>
                <w:tab w:val="left" w:pos="360"/>
              </w:tabs>
              <w:adjustRightInd/>
              <w:snapToGrid/>
              <w:spacing w:after="120" w:line="240" w:lineRule="auto"/>
              <w:ind w:left="0" w:firstLine="0" w:firstLineChars="0"/>
              <w:jc w:val="left"/>
              <w:rPr>
                <w:rFonts w:hint="default" w:ascii="Calibri" w:hAnsi="Calibri" w:eastAsia="宋体" w:cs="Times New Roman"/>
                <w:kern w:val="2"/>
                <w:sz w:val="24"/>
                <w:szCs w:val="24"/>
                <w:lang w:val="en-US" w:eastAsia="zh-CN"/>
              </w:rPr>
            </w:pPr>
            <w:r>
              <w:rPr>
                <w:rFonts w:hint="eastAsia" w:ascii="Calibri" w:hAnsi="Calibri" w:eastAsia="宋体" w:cs="Times New Roman"/>
                <w:kern w:val="2"/>
                <w:sz w:val="24"/>
                <w:szCs w:val="24"/>
                <w:lang w:val="en-US" w:eastAsia="zh-CN"/>
              </w:rPr>
              <w:t>评价得分（平均分）</w:t>
            </w:r>
          </w:p>
        </w:tc>
        <w:tc>
          <w:tcPr>
            <w:tcW w:w="5109" w:type="dxa"/>
            <w:gridSpan w:val="5"/>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522" w:type="dxa"/>
            <w:gridSpan w:val="6"/>
            <w:noWrap w:val="0"/>
            <w:vAlign w:val="top"/>
          </w:tcPr>
          <w:p>
            <w:pPr>
              <w:pStyle w:val="3"/>
              <w:widowControl w:val="0"/>
              <w:tabs>
                <w:tab w:val="left" w:pos="360"/>
              </w:tabs>
              <w:adjustRightInd/>
              <w:snapToGrid/>
              <w:spacing w:after="120" w:line="240" w:lineRule="auto"/>
              <w:ind w:left="0" w:firstLine="0" w:firstLineChars="0"/>
              <w:jc w:val="left"/>
              <w:rPr>
                <w:rFonts w:hint="default" w:ascii="Calibri" w:hAnsi="Calibri" w:eastAsia="宋体" w:cs="Times New Roman"/>
                <w:kern w:val="2"/>
                <w:sz w:val="24"/>
                <w:szCs w:val="24"/>
                <w:lang w:val="en-US" w:eastAsia="zh-CN"/>
              </w:rPr>
            </w:pPr>
            <w:r>
              <w:rPr>
                <w:rFonts w:hint="eastAsia" w:ascii="Calibri" w:hAnsi="Calibri" w:eastAsia="宋体" w:cs="Times New Roman"/>
                <w:kern w:val="2"/>
                <w:sz w:val="24"/>
                <w:szCs w:val="24"/>
                <w:lang w:val="en-US" w:eastAsia="zh-CN"/>
              </w:rPr>
              <w:t>评价等级：口A级           口B级            口C级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0" w:hRule="atLeast"/>
        </w:trPr>
        <w:tc>
          <w:tcPr>
            <w:tcW w:w="8522" w:type="dxa"/>
            <w:gridSpan w:val="6"/>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r>
              <w:rPr>
                <w:rFonts w:hint="eastAsia" w:ascii="Calibri" w:hAnsi="Calibri" w:eastAsia="宋体" w:cs="Times New Roman"/>
                <w:kern w:val="2"/>
                <w:sz w:val="24"/>
                <w:szCs w:val="24"/>
                <w:lang w:val="en-US" w:eastAsia="zh-CN"/>
              </w:rPr>
              <w:t>评价意见：</w:t>
            </w:r>
          </w:p>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p>
          <w:p>
            <w:pPr>
              <w:pStyle w:val="3"/>
              <w:widowControl w:val="0"/>
              <w:tabs>
                <w:tab w:val="left" w:pos="360"/>
              </w:tabs>
              <w:adjustRightInd/>
              <w:snapToGrid/>
              <w:spacing w:after="120" w:line="240" w:lineRule="auto"/>
              <w:ind w:left="0" w:firstLine="0" w:firstLineChars="0"/>
              <w:jc w:val="left"/>
              <w:rPr>
                <w:rFonts w:hint="default" w:ascii="Calibri" w:hAnsi="Calibri" w:eastAsia="宋体" w:cs="Times New Roman"/>
                <w:kern w:val="2"/>
                <w:sz w:val="24"/>
                <w:szCs w:val="24"/>
                <w:lang w:val="en-US" w:eastAsia="zh-CN"/>
              </w:rPr>
            </w:pPr>
            <w:r>
              <w:rPr>
                <w:rFonts w:hint="eastAsia" w:ascii="Calibri" w:hAnsi="Calibri" w:eastAsia="宋体" w:cs="Times New Roman"/>
                <w:kern w:val="2"/>
                <w:sz w:val="24"/>
                <w:szCs w:val="24"/>
                <w:lang w:val="en-US" w:eastAsia="zh-CN"/>
              </w:rPr>
              <w:t>考核评价小组成员签字：                      考核评价小组组长签字：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3" w:hRule="atLeast"/>
        </w:trPr>
        <w:tc>
          <w:tcPr>
            <w:tcW w:w="3962" w:type="dxa"/>
            <w:gridSpan w:val="2"/>
            <w:noWrap w:val="0"/>
            <w:vAlign w:val="top"/>
          </w:tcPr>
          <w:p>
            <w:pPr>
              <w:pStyle w:val="3"/>
              <w:widowControl w:val="0"/>
              <w:tabs>
                <w:tab w:val="left" w:pos="360"/>
              </w:tabs>
              <w:adjustRightInd/>
              <w:snapToGrid/>
              <w:spacing w:after="120" w:line="240" w:lineRule="auto"/>
              <w:ind w:left="0" w:firstLine="0" w:firstLineChars="0"/>
              <w:jc w:val="left"/>
              <w:rPr>
                <w:rFonts w:hint="default" w:ascii="Calibri" w:hAnsi="Calibri" w:eastAsia="宋体" w:cs="Times New Roman"/>
                <w:kern w:val="2"/>
                <w:sz w:val="24"/>
                <w:szCs w:val="24"/>
                <w:lang w:val="en-US" w:eastAsia="zh-CN"/>
              </w:rPr>
            </w:pPr>
            <w:r>
              <w:rPr>
                <w:rFonts w:hint="eastAsia" w:ascii="Calibri" w:hAnsi="Calibri" w:eastAsia="宋体" w:cs="Times New Roman"/>
                <w:kern w:val="2"/>
                <w:sz w:val="24"/>
                <w:szCs w:val="24"/>
                <w:lang w:val="en-US" w:eastAsia="zh-CN"/>
              </w:rPr>
              <w:t>考核评价部门负责人签字盖章：</w:t>
            </w:r>
          </w:p>
        </w:tc>
        <w:tc>
          <w:tcPr>
            <w:tcW w:w="4560" w:type="dxa"/>
            <w:gridSpan w:val="4"/>
            <w:noWrap w:val="0"/>
            <w:vAlign w:val="top"/>
          </w:tcPr>
          <w:p>
            <w:pPr>
              <w:pStyle w:val="3"/>
              <w:widowControl w:val="0"/>
              <w:tabs>
                <w:tab w:val="left" w:pos="360"/>
              </w:tabs>
              <w:adjustRightInd/>
              <w:snapToGrid/>
              <w:spacing w:after="120" w:line="240" w:lineRule="auto"/>
              <w:ind w:left="0" w:firstLine="0" w:firstLineChars="0"/>
              <w:jc w:val="left"/>
              <w:rPr>
                <w:rFonts w:hint="default" w:ascii="Calibri" w:hAnsi="Calibri" w:eastAsia="宋体" w:cs="Times New Roman"/>
                <w:kern w:val="2"/>
                <w:sz w:val="24"/>
                <w:szCs w:val="24"/>
                <w:lang w:val="en-US" w:eastAsia="zh-CN"/>
              </w:rPr>
            </w:pPr>
            <w:r>
              <w:rPr>
                <w:rFonts w:hint="eastAsia" w:ascii="Calibri" w:hAnsi="Calibri" w:eastAsia="宋体" w:cs="Times New Roman"/>
                <w:kern w:val="2"/>
                <w:sz w:val="24"/>
                <w:szCs w:val="24"/>
                <w:lang w:val="en-US" w:eastAsia="zh-CN"/>
              </w:rPr>
              <w:t>服务单位签字盖章：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522" w:type="dxa"/>
            <w:gridSpan w:val="6"/>
            <w:noWrap w:val="0"/>
            <w:vAlign w:val="top"/>
          </w:tcPr>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r>
              <w:rPr>
                <w:rFonts w:hint="eastAsia" w:ascii="Calibri" w:hAnsi="Calibri" w:eastAsia="宋体" w:cs="Times New Roman"/>
                <w:kern w:val="2"/>
                <w:sz w:val="24"/>
                <w:szCs w:val="24"/>
                <w:lang w:val="en-US" w:eastAsia="zh-CN"/>
              </w:rPr>
              <w:t>注:1.本表一式两份，一份由考核评价部门留存;一份由服务单位留存。</w:t>
            </w:r>
          </w:p>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r>
              <w:rPr>
                <w:rFonts w:hint="eastAsia" w:ascii="Calibri" w:hAnsi="Calibri" w:eastAsia="宋体" w:cs="Times New Roman"/>
                <w:kern w:val="2"/>
                <w:sz w:val="24"/>
                <w:szCs w:val="24"/>
                <w:lang w:val="en-US" w:eastAsia="zh-CN"/>
              </w:rPr>
              <w:t>A 级指考核得分在 90分(含) 以上的服务商; B 级指考核得分在 80分(含)至 89 分的服务商:C 级指考核得分在 80 分以下的服务商</w:t>
            </w:r>
          </w:p>
          <w:p>
            <w:pPr>
              <w:pStyle w:val="3"/>
              <w:widowControl w:val="0"/>
              <w:tabs>
                <w:tab w:val="left" w:pos="360"/>
              </w:tabs>
              <w:adjustRightInd/>
              <w:snapToGrid/>
              <w:spacing w:after="120" w:line="240" w:lineRule="auto"/>
              <w:ind w:left="0" w:firstLine="0" w:firstLineChars="0"/>
              <w:jc w:val="left"/>
              <w:rPr>
                <w:rFonts w:hint="eastAsia" w:ascii="Calibri" w:hAnsi="Calibri" w:eastAsia="宋体" w:cs="Times New Roman"/>
                <w:kern w:val="2"/>
                <w:sz w:val="24"/>
                <w:szCs w:val="24"/>
                <w:lang w:val="en-US" w:eastAsia="zh-CN"/>
              </w:rPr>
            </w:pPr>
            <w:r>
              <w:rPr>
                <w:rFonts w:hint="eastAsia" w:ascii="Calibri" w:hAnsi="Calibri" w:eastAsia="宋体" w:cs="Times New Roman"/>
                <w:kern w:val="2"/>
                <w:sz w:val="24"/>
                <w:szCs w:val="24"/>
                <w:lang w:val="en-US" w:eastAsia="zh-CN"/>
              </w:rPr>
              <w:t>3.合格等级划分：A级：合格，B级、C级：不合格</w:t>
            </w:r>
          </w:p>
        </w:tc>
      </w:tr>
    </w:tbl>
    <w:p>
      <w:pPr>
        <w:pStyle w:val="17"/>
        <w:ind w:left="0" w:leftChars="0" w:firstLine="0" w:firstLineChars="0"/>
        <w:rPr>
          <w:rFonts w:hint="eastAsia" w:ascii="Tahoma" w:hAnsi="Tahoma" w:eastAsia="微软雅黑" w:cstheme="minorBidi"/>
          <w:sz w:val="24"/>
          <w:szCs w:val="24"/>
          <w:lang w:val="en-US" w:eastAsia="zh-CN" w:bidi="ar-SA"/>
        </w:rPr>
      </w:pPr>
    </w:p>
    <w:p>
      <w:pPr>
        <w:pStyle w:val="6"/>
        <w:widowControl w:val="0"/>
        <w:snapToGrid/>
        <w:jc w:val="both"/>
        <w:outlineLvl w:val="0"/>
        <w:rPr>
          <w:rFonts w:hint="eastAsia" w:eastAsia="宋体" w:cs="Times New Roman"/>
          <w:lang w:val="en-US" w:eastAsia="zh-CN"/>
        </w:rPr>
      </w:pPr>
      <w:r>
        <w:rPr>
          <w:rFonts w:hint="eastAsia" w:eastAsia="宋体" w:cs="Times New Roman"/>
          <w:lang w:val="en-US" w:eastAsia="zh-CN"/>
        </w:rPr>
        <w:t>付款条件和方式</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每</w:t>
      </w:r>
      <w:r>
        <w:rPr>
          <w:rFonts w:hint="eastAsia" w:ascii="宋体" w:hAnsi="宋体" w:eastAsia="宋体" w:cs="宋体"/>
          <w:kern w:val="2"/>
          <w:sz w:val="24"/>
          <w:szCs w:val="24"/>
          <w:lang w:eastAsia="zh-CN"/>
        </w:rPr>
        <w:t>半年</w:t>
      </w:r>
      <w:r>
        <w:rPr>
          <w:rFonts w:hint="eastAsia" w:ascii="宋体" w:hAnsi="宋体" w:eastAsia="宋体" w:cs="宋体"/>
          <w:kern w:val="2"/>
          <w:sz w:val="24"/>
          <w:szCs w:val="24"/>
        </w:rPr>
        <w:t>服务期作为一个</w:t>
      </w:r>
      <w:r>
        <w:rPr>
          <w:rFonts w:hint="eastAsia" w:ascii="宋体" w:hAnsi="宋体" w:eastAsia="宋体" w:cs="宋体"/>
          <w:kern w:val="2"/>
          <w:sz w:val="24"/>
          <w:szCs w:val="24"/>
          <w:lang w:val="en-US" w:eastAsia="zh-CN"/>
        </w:rPr>
        <w:t>付款</w:t>
      </w:r>
      <w:r>
        <w:rPr>
          <w:rFonts w:hint="eastAsia" w:ascii="宋体" w:hAnsi="宋体" w:eastAsia="宋体" w:cs="宋体"/>
          <w:kern w:val="2"/>
          <w:sz w:val="24"/>
          <w:szCs w:val="24"/>
        </w:rPr>
        <w:t>周期，甲方按照服务内容、</w:t>
      </w:r>
      <w:r>
        <w:rPr>
          <w:rFonts w:hint="eastAsia" w:ascii="宋体" w:hAnsi="宋体" w:eastAsia="宋体" w:cs="宋体"/>
          <w:kern w:val="2"/>
          <w:sz w:val="24"/>
          <w:szCs w:val="24"/>
          <w:lang w:val="en-US" w:eastAsia="zh-CN"/>
        </w:rPr>
        <w:t>服务质量、</w:t>
      </w:r>
      <w:r>
        <w:rPr>
          <w:rFonts w:hint="eastAsia" w:ascii="宋体" w:hAnsi="宋体" w:eastAsia="宋体" w:cs="宋体"/>
          <w:kern w:val="2"/>
          <w:sz w:val="24"/>
          <w:szCs w:val="24"/>
        </w:rPr>
        <w:t>服务条款对乙方进行考核，按《青海红十字医院服务商监督考核评价打分表》</w:t>
      </w:r>
      <w:r>
        <w:rPr>
          <w:rFonts w:hint="eastAsia" w:ascii="宋体" w:hAnsi="宋体" w:eastAsia="宋体" w:cs="宋体"/>
          <w:kern w:val="2"/>
          <w:sz w:val="24"/>
          <w:szCs w:val="24"/>
          <w:lang w:val="en-US" w:eastAsia="zh-CN"/>
        </w:rPr>
        <w:t>平均得分</w:t>
      </w:r>
      <w:r>
        <w:rPr>
          <w:rFonts w:hint="eastAsia" w:ascii="宋体" w:hAnsi="宋体" w:eastAsia="宋体" w:cs="宋体"/>
          <w:kern w:val="2"/>
          <w:sz w:val="24"/>
          <w:szCs w:val="24"/>
        </w:rPr>
        <w:t>结果支付年度服务费的</w:t>
      </w:r>
      <w:r>
        <w:rPr>
          <w:rFonts w:hint="eastAsia" w:ascii="宋体" w:hAnsi="宋体" w:eastAsia="宋体" w:cs="宋体"/>
          <w:kern w:val="2"/>
          <w:sz w:val="24"/>
          <w:szCs w:val="24"/>
          <w:lang w:eastAsia="zh-CN"/>
        </w:rPr>
        <w:t>50%</w:t>
      </w:r>
      <w:r>
        <w:rPr>
          <w:rFonts w:hint="eastAsia" w:ascii="宋体" w:hAnsi="宋体" w:eastAsia="宋体" w:cs="宋体"/>
          <w:kern w:val="2"/>
          <w:sz w:val="24"/>
          <w:szCs w:val="24"/>
        </w:rPr>
        <w:t>。如乙方的服务</w:t>
      </w:r>
      <w:r>
        <w:rPr>
          <w:rFonts w:hint="eastAsia" w:ascii="宋体" w:hAnsi="宋体" w:eastAsia="宋体" w:cs="宋体"/>
          <w:kern w:val="2"/>
          <w:sz w:val="24"/>
          <w:szCs w:val="24"/>
          <w:lang w:val="en-US" w:eastAsia="zh-CN"/>
        </w:rPr>
        <w:t>未</w:t>
      </w:r>
      <w:r>
        <w:rPr>
          <w:rFonts w:hint="eastAsia" w:ascii="宋体" w:hAnsi="宋体" w:eastAsia="宋体" w:cs="宋体"/>
          <w:kern w:val="2"/>
          <w:sz w:val="24"/>
          <w:szCs w:val="24"/>
        </w:rPr>
        <w:t>能满足合同约定，经甲乙双方核实无误后，按双方确认应扣款项后支付</w:t>
      </w:r>
      <w:r>
        <w:rPr>
          <w:rFonts w:hint="eastAsia" w:ascii="宋体" w:hAnsi="宋体" w:eastAsia="宋体" w:cs="宋体"/>
          <w:kern w:val="2"/>
          <w:sz w:val="24"/>
          <w:szCs w:val="24"/>
          <w:lang w:eastAsia="zh-CN"/>
        </w:rPr>
        <w:t>半年</w:t>
      </w:r>
      <w:r>
        <w:rPr>
          <w:rFonts w:hint="eastAsia" w:ascii="宋体" w:hAnsi="宋体" w:eastAsia="宋体" w:cs="宋体"/>
          <w:kern w:val="2"/>
          <w:sz w:val="24"/>
          <w:szCs w:val="24"/>
        </w:rPr>
        <w:t>服务费，甲方有权给予警告、扣除相应比例服务费、解除合同，具体方式为：</w:t>
      </w:r>
    </w:p>
    <w:p>
      <w:pPr>
        <w:widowControl/>
        <w:adjustRightInd/>
        <w:snapToGrid/>
        <w:spacing w:after="0" w:line="400" w:lineRule="atLeast"/>
        <w:ind w:firstLine="480" w:firstLineChars="200"/>
        <w:jc w:val="left"/>
        <w:rPr>
          <w:rFonts w:hint="eastAsia" w:ascii="宋体" w:hAnsi="宋体" w:eastAsia="宋体" w:cs="宋体"/>
          <w:kern w:val="2"/>
          <w:sz w:val="24"/>
          <w:szCs w:val="24"/>
          <w:lang w:eastAsia="zh-CN"/>
        </w:rPr>
      </w:pPr>
      <w:r>
        <w:rPr>
          <w:rFonts w:hint="eastAsia" w:ascii="宋体" w:hAnsi="宋体" w:eastAsia="宋体" w:cs="宋体"/>
          <w:kern w:val="2"/>
          <w:sz w:val="24"/>
          <w:szCs w:val="24"/>
        </w:rPr>
        <w:t>1.考核评价结果A级：全额支付年度服务费的</w:t>
      </w:r>
      <w:r>
        <w:rPr>
          <w:rFonts w:hint="eastAsia" w:ascii="宋体" w:hAnsi="宋体" w:eastAsia="宋体" w:cs="宋体"/>
          <w:kern w:val="2"/>
          <w:sz w:val="24"/>
          <w:szCs w:val="24"/>
          <w:lang w:eastAsia="zh-CN"/>
        </w:rPr>
        <w:t>50%；</w:t>
      </w:r>
    </w:p>
    <w:p>
      <w:pPr>
        <w:widowControl/>
        <w:adjustRightInd/>
        <w:snapToGrid/>
        <w:spacing w:after="0" w:line="400" w:lineRule="atLeast"/>
        <w:ind w:firstLine="480" w:firstLineChars="200"/>
        <w:jc w:val="left"/>
        <w:rPr>
          <w:rFonts w:hint="eastAsia" w:ascii="宋体" w:hAnsi="宋体" w:eastAsia="宋体" w:cs="宋体"/>
          <w:kern w:val="2"/>
          <w:sz w:val="24"/>
          <w:szCs w:val="24"/>
          <w:lang w:eastAsia="zh-CN"/>
        </w:rPr>
      </w:pPr>
      <w:r>
        <w:rPr>
          <w:rFonts w:hint="eastAsia" w:ascii="宋体" w:hAnsi="宋体" w:eastAsia="宋体" w:cs="宋体"/>
          <w:kern w:val="2"/>
          <w:sz w:val="24"/>
          <w:szCs w:val="24"/>
        </w:rPr>
        <w:t>2.考核评价结果B级：延后一个月结算，扣除</w:t>
      </w:r>
      <w:r>
        <w:rPr>
          <w:rFonts w:hint="eastAsia" w:ascii="宋体" w:hAnsi="宋体" w:eastAsia="宋体" w:cs="宋体"/>
          <w:kern w:val="2"/>
          <w:sz w:val="24"/>
          <w:szCs w:val="24"/>
          <w:lang w:eastAsia="zh-CN"/>
        </w:rPr>
        <w:t>半年</w:t>
      </w:r>
      <w:r>
        <w:rPr>
          <w:rFonts w:hint="eastAsia" w:ascii="宋体" w:hAnsi="宋体" w:eastAsia="宋体" w:cs="宋体"/>
          <w:kern w:val="2"/>
          <w:sz w:val="24"/>
          <w:szCs w:val="24"/>
        </w:rPr>
        <w:t>服务费的</w:t>
      </w:r>
      <w:r>
        <w:rPr>
          <w:rFonts w:hint="eastAsia" w:ascii="宋体" w:hAnsi="宋体" w:eastAsia="宋体" w:cs="宋体"/>
          <w:kern w:val="2"/>
          <w:sz w:val="24"/>
          <w:szCs w:val="24"/>
          <w:lang w:val="en-US" w:eastAsia="zh-CN"/>
        </w:rPr>
        <w:t>5</w:t>
      </w:r>
      <w:r>
        <w:rPr>
          <w:rFonts w:hint="eastAsia" w:ascii="宋体" w:hAnsi="宋体" w:eastAsia="宋体" w:cs="宋体"/>
          <w:kern w:val="2"/>
          <w:sz w:val="24"/>
          <w:szCs w:val="24"/>
        </w:rPr>
        <w:t>%</w:t>
      </w:r>
      <w:r>
        <w:rPr>
          <w:rFonts w:hint="eastAsia" w:ascii="宋体" w:hAnsi="宋体" w:eastAsia="宋体" w:cs="宋体"/>
          <w:kern w:val="2"/>
          <w:sz w:val="24"/>
          <w:szCs w:val="24"/>
          <w:lang w:eastAsia="zh-CN"/>
        </w:rPr>
        <w:t>；</w:t>
      </w:r>
    </w:p>
    <w:p>
      <w:pPr>
        <w:widowControl/>
        <w:adjustRightInd/>
        <w:snapToGrid/>
        <w:spacing w:after="0" w:line="400" w:lineRule="atLeast"/>
        <w:ind w:firstLine="480" w:firstLineChars="200"/>
        <w:jc w:val="left"/>
        <w:rPr>
          <w:rFonts w:hint="eastAsia" w:ascii="宋体" w:hAnsi="宋体" w:eastAsia="宋体" w:cs="宋体"/>
          <w:kern w:val="2"/>
          <w:sz w:val="24"/>
          <w:szCs w:val="24"/>
          <w:lang w:eastAsia="zh-CN"/>
        </w:rPr>
      </w:pPr>
      <w:r>
        <w:rPr>
          <w:rFonts w:hint="eastAsia" w:ascii="宋体" w:hAnsi="宋体" w:eastAsia="宋体" w:cs="宋体"/>
          <w:kern w:val="2"/>
          <w:sz w:val="24"/>
          <w:szCs w:val="24"/>
        </w:rPr>
        <w:t>3.考核评价结果C级：甲方可单方面解除合同，</w:t>
      </w:r>
      <w:r>
        <w:rPr>
          <w:rFonts w:hint="eastAsia" w:ascii="宋体" w:hAnsi="宋体" w:eastAsia="宋体" w:cs="宋体"/>
          <w:kern w:val="2"/>
          <w:sz w:val="24"/>
          <w:szCs w:val="24"/>
          <w:lang w:val="en-US" w:eastAsia="zh-CN"/>
        </w:rPr>
        <w:t>书面告知乙方，合同终止日期以甲方书面告知乙方日期为准，</w:t>
      </w:r>
      <w:r>
        <w:rPr>
          <w:rFonts w:hint="eastAsia" w:ascii="宋体" w:hAnsi="宋体" w:eastAsia="宋体" w:cs="宋体"/>
          <w:kern w:val="2"/>
          <w:sz w:val="24"/>
          <w:szCs w:val="24"/>
        </w:rPr>
        <w:t>不再</w:t>
      </w:r>
      <w:r>
        <w:rPr>
          <w:rFonts w:hint="eastAsia" w:ascii="宋体" w:hAnsi="宋体" w:eastAsia="宋体" w:cs="宋体"/>
          <w:kern w:val="2"/>
          <w:sz w:val="24"/>
          <w:szCs w:val="24"/>
          <w:lang w:val="en-US" w:eastAsia="zh-CN"/>
        </w:rPr>
        <w:t>支付本服务周期</w:t>
      </w:r>
      <w:r>
        <w:rPr>
          <w:rFonts w:hint="eastAsia" w:ascii="宋体" w:hAnsi="宋体" w:eastAsia="宋体" w:cs="宋体"/>
          <w:kern w:val="2"/>
          <w:sz w:val="24"/>
          <w:szCs w:val="24"/>
        </w:rPr>
        <w:t>的服务费</w:t>
      </w:r>
      <w:r>
        <w:rPr>
          <w:rFonts w:hint="eastAsia" w:ascii="宋体" w:hAnsi="宋体" w:eastAsia="宋体" w:cs="宋体"/>
          <w:kern w:val="2"/>
          <w:sz w:val="24"/>
          <w:szCs w:val="24"/>
          <w:lang w:eastAsia="zh-CN"/>
        </w:rPr>
        <w:t>；</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服务费支付比例按双方书面确认的变更文件做相应调整，甲方按经乙方书面确认的实际考核结果支付维保费用。</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每次付款前，乙方应按应付金额向甲方提供增值税普通发票。</w:t>
      </w:r>
    </w:p>
    <w:p>
      <w:pPr>
        <w:pStyle w:val="2"/>
        <w:tabs>
          <w:tab w:val="left" w:pos="360"/>
        </w:tabs>
        <w:rPr>
          <w:rFonts w:hint="eastAsia"/>
        </w:rPr>
      </w:pPr>
    </w:p>
    <w:p>
      <w:pPr>
        <w:pStyle w:val="6"/>
        <w:widowControl w:val="0"/>
        <w:snapToGrid/>
        <w:jc w:val="both"/>
        <w:outlineLvl w:val="0"/>
        <w:rPr>
          <w:rFonts w:hint="default" w:eastAsia="宋体" w:cs="Times New Roman"/>
          <w:lang w:val="en-US" w:eastAsia="zh-CN"/>
        </w:rPr>
      </w:pPr>
      <w:r>
        <w:rPr>
          <w:rFonts w:hint="eastAsia" w:eastAsia="宋体" w:cs="Times New Roman"/>
          <w:lang w:val="en-US" w:eastAsia="zh-CN"/>
        </w:rPr>
        <w:t>违约责任</w:t>
      </w:r>
    </w:p>
    <w:p>
      <w:pPr>
        <w:widowControl/>
        <w:adjustRightInd/>
        <w:snapToGrid/>
        <w:spacing w:after="0" w:line="400" w:lineRule="atLeast"/>
        <w:ind w:firstLine="480" w:firstLineChars="200"/>
        <w:jc w:val="left"/>
        <w:rPr>
          <w:rFonts w:hint="eastAsia" w:ascii="宋体" w:hAnsi="宋体" w:eastAsia="宋体" w:cs="宋体"/>
          <w:kern w:val="2"/>
          <w:sz w:val="24"/>
          <w:szCs w:val="24"/>
          <w:lang w:val="en-US" w:eastAsia="zh-CN"/>
        </w:rPr>
      </w:pPr>
      <w:r>
        <w:rPr>
          <w:rFonts w:hint="eastAsia" w:ascii="宋体" w:hAnsi="宋体" w:eastAsia="宋体" w:cs="宋体"/>
          <w:kern w:val="2"/>
          <w:sz w:val="24"/>
          <w:szCs w:val="24"/>
          <w:lang w:val="en-US" w:eastAsia="zh-CN"/>
        </w:rPr>
        <w:t>1、</w:t>
      </w:r>
      <w:r>
        <w:rPr>
          <w:rFonts w:hint="eastAsia" w:ascii="宋体" w:hAnsi="宋体" w:eastAsia="宋体" w:cs="宋体"/>
          <w:kern w:val="2"/>
          <w:sz w:val="24"/>
          <w:szCs w:val="24"/>
        </w:rPr>
        <w:t>乙方服务期间，如出现有效投诉1次，扣除人民币</w:t>
      </w:r>
      <w:r>
        <w:rPr>
          <w:rFonts w:hint="eastAsia" w:ascii="宋体" w:hAnsi="宋体" w:eastAsia="宋体" w:cs="宋体"/>
          <w:kern w:val="2"/>
          <w:sz w:val="24"/>
          <w:szCs w:val="24"/>
          <w:lang w:val="en-US" w:eastAsia="zh-CN"/>
        </w:rPr>
        <w:t>1000</w:t>
      </w:r>
      <w:r>
        <w:rPr>
          <w:rFonts w:hint="eastAsia" w:ascii="宋体" w:hAnsi="宋体" w:eastAsia="宋体" w:cs="宋体"/>
          <w:kern w:val="2"/>
          <w:sz w:val="24"/>
          <w:szCs w:val="24"/>
        </w:rPr>
        <w:t>元，如</w:t>
      </w:r>
      <w:r>
        <w:rPr>
          <w:rFonts w:hint="eastAsia" w:ascii="宋体" w:hAnsi="宋体" w:eastAsia="宋体" w:cs="宋体"/>
          <w:kern w:val="2"/>
          <w:sz w:val="24"/>
          <w:szCs w:val="24"/>
          <w:lang w:eastAsia="zh-CN"/>
        </w:rPr>
        <w:t>半年</w:t>
      </w:r>
      <w:r>
        <w:rPr>
          <w:rFonts w:hint="eastAsia" w:ascii="宋体" w:hAnsi="宋体" w:eastAsia="宋体" w:cs="宋体"/>
          <w:kern w:val="2"/>
          <w:sz w:val="24"/>
          <w:szCs w:val="24"/>
        </w:rPr>
        <w:t>有效投诉≥</w:t>
      </w:r>
      <w:r>
        <w:rPr>
          <w:rFonts w:hint="eastAsia" w:ascii="宋体" w:hAnsi="宋体" w:eastAsia="宋体" w:cs="宋体"/>
          <w:kern w:val="2"/>
          <w:sz w:val="24"/>
          <w:szCs w:val="24"/>
          <w:lang w:val="en-US" w:eastAsia="zh-CN"/>
        </w:rPr>
        <w:t>3</w:t>
      </w:r>
      <w:r>
        <w:rPr>
          <w:rFonts w:hint="eastAsia" w:ascii="宋体" w:hAnsi="宋体" w:eastAsia="宋体" w:cs="宋体"/>
          <w:kern w:val="2"/>
          <w:sz w:val="24"/>
          <w:szCs w:val="24"/>
        </w:rPr>
        <w:t>次，再扣除</w:t>
      </w:r>
      <w:r>
        <w:rPr>
          <w:rFonts w:hint="eastAsia" w:ascii="宋体" w:hAnsi="宋体" w:eastAsia="宋体" w:cs="宋体"/>
          <w:kern w:val="2"/>
          <w:sz w:val="24"/>
          <w:szCs w:val="24"/>
          <w:lang w:eastAsia="zh-CN"/>
        </w:rPr>
        <w:t>半年</w:t>
      </w:r>
      <w:r>
        <w:rPr>
          <w:rFonts w:hint="eastAsia" w:ascii="宋体" w:hAnsi="宋体" w:eastAsia="宋体" w:cs="宋体"/>
          <w:kern w:val="2"/>
          <w:sz w:val="24"/>
          <w:szCs w:val="24"/>
        </w:rPr>
        <w:t>付款总额的</w:t>
      </w:r>
      <w:r>
        <w:rPr>
          <w:rFonts w:hint="eastAsia" w:ascii="宋体" w:hAnsi="宋体" w:eastAsia="宋体" w:cs="宋体"/>
          <w:kern w:val="2"/>
          <w:sz w:val="24"/>
          <w:szCs w:val="24"/>
          <w:lang w:val="en-US" w:eastAsia="zh-CN"/>
        </w:rPr>
        <w:t>3</w:t>
      </w:r>
      <w:r>
        <w:rPr>
          <w:rFonts w:hint="eastAsia" w:ascii="宋体" w:hAnsi="宋体" w:eastAsia="宋体" w:cs="宋体"/>
          <w:kern w:val="2"/>
          <w:sz w:val="24"/>
          <w:szCs w:val="24"/>
        </w:rPr>
        <w:t>%。</w:t>
      </w:r>
    </w:p>
    <w:p>
      <w:pPr>
        <w:widowControl/>
        <w:adjustRightInd/>
        <w:snapToGrid/>
        <w:spacing w:after="0" w:line="400" w:lineRule="atLeast"/>
        <w:ind w:firstLine="480" w:firstLineChars="200"/>
        <w:jc w:val="left"/>
        <w:rPr>
          <w:rFonts w:hint="eastAsia" w:ascii="宋体" w:hAnsi="宋体" w:eastAsia="宋体" w:cs="宋体"/>
          <w:kern w:val="2"/>
          <w:sz w:val="24"/>
          <w:szCs w:val="24"/>
          <w:lang w:eastAsia="zh-CN"/>
        </w:rPr>
      </w:pPr>
      <w:r>
        <w:rPr>
          <w:rFonts w:hint="eastAsia" w:ascii="宋体" w:hAnsi="宋体" w:eastAsia="宋体" w:cs="宋体"/>
          <w:kern w:val="2"/>
          <w:sz w:val="24"/>
          <w:szCs w:val="24"/>
          <w:lang w:val="en-US" w:eastAsia="zh-CN"/>
        </w:rPr>
        <w:t>2、</w:t>
      </w:r>
      <w:r>
        <w:rPr>
          <w:rFonts w:hint="eastAsia" w:ascii="宋体" w:hAnsi="宋体" w:eastAsia="宋体" w:cs="宋体"/>
          <w:kern w:val="2"/>
          <w:sz w:val="24"/>
          <w:szCs w:val="24"/>
        </w:rPr>
        <w:t>考核评价结果C级：甲方可单方面解除合同，</w:t>
      </w:r>
      <w:r>
        <w:rPr>
          <w:rFonts w:hint="eastAsia" w:ascii="宋体" w:hAnsi="宋体" w:eastAsia="宋体" w:cs="宋体"/>
          <w:kern w:val="2"/>
          <w:sz w:val="24"/>
          <w:szCs w:val="24"/>
          <w:lang w:val="en-US" w:eastAsia="zh-CN"/>
        </w:rPr>
        <w:t>书面告知乙方，合同终止日期以甲方书面告知乙方日期为准，</w:t>
      </w:r>
      <w:r>
        <w:rPr>
          <w:rFonts w:hint="eastAsia" w:ascii="宋体" w:hAnsi="宋体" w:eastAsia="宋体" w:cs="宋体"/>
          <w:kern w:val="2"/>
          <w:sz w:val="24"/>
          <w:szCs w:val="24"/>
        </w:rPr>
        <w:t>不再</w:t>
      </w:r>
      <w:r>
        <w:rPr>
          <w:rFonts w:hint="eastAsia" w:ascii="宋体" w:hAnsi="宋体" w:eastAsia="宋体" w:cs="宋体"/>
          <w:kern w:val="2"/>
          <w:sz w:val="24"/>
          <w:szCs w:val="24"/>
          <w:lang w:val="en-US" w:eastAsia="zh-CN"/>
        </w:rPr>
        <w:t>支付本服务周期</w:t>
      </w:r>
      <w:r>
        <w:rPr>
          <w:rFonts w:hint="eastAsia" w:ascii="宋体" w:hAnsi="宋体" w:eastAsia="宋体" w:cs="宋体"/>
          <w:kern w:val="2"/>
          <w:sz w:val="24"/>
          <w:szCs w:val="24"/>
        </w:rPr>
        <w:t>的服务费</w:t>
      </w:r>
      <w:r>
        <w:rPr>
          <w:rFonts w:hint="eastAsia" w:ascii="宋体" w:hAnsi="宋体" w:eastAsia="宋体" w:cs="宋体"/>
          <w:kern w:val="2"/>
          <w:sz w:val="24"/>
          <w:szCs w:val="24"/>
          <w:lang w:eastAsia="zh-CN"/>
        </w:rPr>
        <w:t>。</w:t>
      </w:r>
    </w:p>
    <w:p>
      <w:pPr>
        <w:widowControl/>
        <w:adjustRightInd/>
        <w:snapToGrid/>
        <w:spacing w:after="0" w:line="400" w:lineRule="atLeast"/>
        <w:ind w:firstLine="482" w:firstLineChars="200"/>
        <w:jc w:val="left"/>
        <w:rPr>
          <w:rFonts w:hint="default"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注：违约责任扣款与付款条件扣款不互斥。</w:t>
      </w:r>
    </w:p>
    <w:p>
      <w:pPr>
        <w:pStyle w:val="2"/>
        <w:ind w:left="0" w:leftChars="0" w:firstLine="480" w:firstLineChars="200"/>
        <w:rPr>
          <w:rFonts w:hint="eastAsia" w:ascii="宋体" w:hAnsi="宋体" w:eastAsia="宋体" w:cs="宋体"/>
          <w:sz w:val="24"/>
          <w:szCs w:val="24"/>
          <w:lang w:val="en-US" w:eastAsia="zh-CN" w:bidi="ar-SA"/>
        </w:rPr>
      </w:pPr>
    </w:p>
    <w:p>
      <w:pPr>
        <w:pStyle w:val="6"/>
        <w:widowControl w:val="0"/>
        <w:snapToGrid/>
        <w:jc w:val="both"/>
        <w:outlineLvl w:val="0"/>
        <w:rPr>
          <w:rFonts w:hint="eastAsia" w:eastAsia="宋体" w:cs="Times New Roman"/>
          <w:lang w:val="en-US" w:eastAsia="zh-CN"/>
        </w:rPr>
      </w:pPr>
      <w:r>
        <w:rPr>
          <w:rFonts w:hint="eastAsia" w:eastAsia="宋体" w:cs="Times New Roman"/>
          <w:lang w:val="en-US" w:eastAsia="zh-CN"/>
        </w:rPr>
        <w:t>维修备件单</w:t>
      </w:r>
    </w:p>
    <w:p>
      <w:pPr>
        <w:keepNext w:val="0"/>
        <w:keepLines w:val="0"/>
        <w:pageBreakBefore w:val="0"/>
        <w:widowControl/>
        <w:kinsoku/>
        <w:wordWrap/>
        <w:overflowPunct/>
        <w:topLinePunct w:val="0"/>
        <w:autoSpaceDE/>
        <w:autoSpaceDN/>
        <w:bidi w:val="0"/>
        <w:adjustRightInd/>
        <w:snapToGrid/>
        <w:spacing w:after="0" w:line="480" w:lineRule="auto"/>
        <w:ind w:left="0" w:leftChars="0" w:firstLine="480" w:firstLineChars="200"/>
        <w:jc w:val="left"/>
        <w:textAlignment w:val="auto"/>
        <w:rPr>
          <w:rFonts w:hint="default"/>
          <w:lang w:val="en-US" w:eastAsia="zh-CN"/>
        </w:rPr>
      </w:pPr>
      <w:r>
        <w:rPr>
          <w:rFonts w:hint="eastAsia" w:asciiTheme="minorEastAsia" w:hAnsiTheme="minorEastAsia" w:eastAsiaTheme="minorEastAsia" w:cstheme="minorEastAsia"/>
          <w:kern w:val="2"/>
          <w:sz w:val="24"/>
          <w:szCs w:val="24"/>
          <w:lang w:val="en-US" w:eastAsia="zh-CN"/>
        </w:rPr>
        <w:t>维修备件单要求按以下数量提供备件，由乙方自行保管。</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
        <w:gridCol w:w="2683"/>
        <w:gridCol w:w="1597"/>
        <w:gridCol w:w="1624"/>
        <w:gridCol w:w="1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trPr>
        <w:tc>
          <w:tcPr>
            <w:tcW w:w="581" w:type="pct"/>
            <w:noWrap w:val="0"/>
            <w:vAlign w:val="top"/>
          </w:tcPr>
          <w:p>
            <w:pPr>
              <w:spacing w:before="93" w:beforeLines="30" w:after="93" w:afterLines="30" w:line="312" w:lineRule="auto"/>
              <w:jc w:val="center"/>
              <w:rPr>
                <w:rFonts w:hint="default"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序号</w:t>
            </w:r>
          </w:p>
        </w:tc>
        <w:tc>
          <w:tcPr>
            <w:tcW w:w="1574"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配件名称</w:t>
            </w:r>
          </w:p>
        </w:tc>
        <w:tc>
          <w:tcPr>
            <w:tcW w:w="937"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型号</w:t>
            </w:r>
          </w:p>
        </w:tc>
        <w:tc>
          <w:tcPr>
            <w:tcW w:w="953"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单位</w:t>
            </w:r>
          </w:p>
        </w:tc>
        <w:tc>
          <w:tcPr>
            <w:tcW w:w="953"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trPr>
        <w:tc>
          <w:tcPr>
            <w:tcW w:w="581" w:type="pct"/>
            <w:noWrap w:val="0"/>
            <w:vAlign w:val="top"/>
          </w:tcPr>
          <w:p>
            <w:pPr>
              <w:spacing w:before="93" w:beforeLines="30" w:after="93" w:afterLines="30" w:line="312" w:lineRule="auto"/>
              <w:jc w:val="center"/>
              <w:rPr>
                <w:rFonts w:hint="default"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1</w:t>
            </w:r>
          </w:p>
        </w:tc>
        <w:tc>
          <w:tcPr>
            <w:tcW w:w="1574"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26P导联线</w:t>
            </w:r>
          </w:p>
        </w:tc>
        <w:tc>
          <w:tcPr>
            <w:tcW w:w="937"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26P</w:t>
            </w:r>
          </w:p>
        </w:tc>
        <w:tc>
          <w:tcPr>
            <w:tcW w:w="953"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条</w:t>
            </w:r>
          </w:p>
        </w:tc>
        <w:tc>
          <w:tcPr>
            <w:tcW w:w="953"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trPr>
        <w:tc>
          <w:tcPr>
            <w:tcW w:w="581" w:type="pct"/>
            <w:noWrap w:val="0"/>
            <w:vAlign w:val="top"/>
          </w:tcPr>
          <w:p>
            <w:pPr>
              <w:spacing w:before="93" w:beforeLines="30" w:after="93" w:afterLines="30" w:line="312" w:lineRule="auto"/>
              <w:jc w:val="center"/>
              <w:rPr>
                <w:rFonts w:hint="default"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2</w:t>
            </w:r>
          </w:p>
        </w:tc>
        <w:tc>
          <w:tcPr>
            <w:tcW w:w="1574"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12导导联线</w:t>
            </w:r>
          </w:p>
        </w:tc>
        <w:tc>
          <w:tcPr>
            <w:tcW w:w="937"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DB15</w:t>
            </w:r>
          </w:p>
        </w:tc>
        <w:tc>
          <w:tcPr>
            <w:tcW w:w="953"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条</w:t>
            </w:r>
          </w:p>
        </w:tc>
        <w:tc>
          <w:tcPr>
            <w:tcW w:w="953"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trPr>
        <w:tc>
          <w:tcPr>
            <w:tcW w:w="581" w:type="pct"/>
            <w:noWrap w:val="0"/>
            <w:vAlign w:val="top"/>
          </w:tcPr>
          <w:p>
            <w:pPr>
              <w:spacing w:before="93" w:beforeLines="30" w:after="93" w:afterLines="30" w:line="312" w:lineRule="auto"/>
              <w:jc w:val="center"/>
              <w:rPr>
                <w:rFonts w:hint="default"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3</w:t>
            </w:r>
          </w:p>
        </w:tc>
        <w:tc>
          <w:tcPr>
            <w:tcW w:w="1574"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蓝牙背夹</w:t>
            </w:r>
          </w:p>
        </w:tc>
        <w:tc>
          <w:tcPr>
            <w:tcW w:w="937"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MECG-300</w:t>
            </w:r>
          </w:p>
        </w:tc>
        <w:tc>
          <w:tcPr>
            <w:tcW w:w="953"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个</w:t>
            </w:r>
          </w:p>
        </w:tc>
        <w:tc>
          <w:tcPr>
            <w:tcW w:w="953"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1" w:hRule="atLeast"/>
        </w:trPr>
        <w:tc>
          <w:tcPr>
            <w:tcW w:w="581" w:type="pct"/>
            <w:noWrap w:val="0"/>
            <w:vAlign w:val="top"/>
          </w:tcPr>
          <w:p>
            <w:pPr>
              <w:spacing w:before="93" w:beforeLines="30" w:after="93" w:afterLines="30" w:line="312" w:lineRule="auto"/>
              <w:jc w:val="center"/>
              <w:rPr>
                <w:rFonts w:hint="default"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4</w:t>
            </w:r>
          </w:p>
        </w:tc>
        <w:tc>
          <w:tcPr>
            <w:tcW w:w="1574"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Cabel延长线</w:t>
            </w:r>
          </w:p>
        </w:tc>
        <w:tc>
          <w:tcPr>
            <w:tcW w:w="937"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MIH-L-10</w:t>
            </w:r>
          </w:p>
        </w:tc>
        <w:tc>
          <w:tcPr>
            <w:tcW w:w="953"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条</w:t>
            </w:r>
          </w:p>
        </w:tc>
        <w:tc>
          <w:tcPr>
            <w:tcW w:w="953"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trPr>
        <w:tc>
          <w:tcPr>
            <w:tcW w:w="581" w:type="pct"/>
            <w:noWrap w:val="0"/>
            <w:vAlign w:val="top"/>
          </w:tcPr>
          <w:p>
            <w:pPr>
              <w:spacing w:before="93" w:beforeLines="30" w:after="93" w:afterLines="30" w:line="312" w:lineRule="auto"/>
              <w:jc w:val="center"/>
              <w:rPr>
                <w:rFonts w:hint="default"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5</w:t>
            </w:r>
          </w:p>
        </w:tc>
        <w:tc>
          <w:tcPr>
            <w:tcW w:w="1574"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电源适配器</w:t>
            </w:r>
          </w:p>
        </w:tc>
        <w:tc>
          <w:tcPr>
            <w:tcW w:w="937"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TB-X505F</w:t>
            </w:r>
          </w:p>
        </w:tc>
        <w:tc>
          <w:tcPr>
            <w:tcW w:w="953"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套</w:t>
            </w:r>
          </w:p>
        </w:tc>
        <w:tc>
          <w:tcPr>
            <w:tcW w:w="953"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trPr>
        <w:tc>
          <w:tcPr>
            <w:tcW w:w="581" w:type="pct"/>
            <w:noWrap w:val="0"/>
            <w:vAlign w:val="top"/>
          </w:tcPr>
          <w:p>
            <w:pPr>
              <w:spacing w:before="93" w:beforeLines="30" w:after="93" w:afterLines="30" w:line="312" w:lineRule="auto"/>
              <w:jc w:val="center"/>
              <w:rPr>
                <w:rFonts w:hint="default"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6</w:t>
            </w:r>
          </w:p>
        </w:tc>
        <w:tc>
          <w:tcPr>
            <w:tcW w:w="1574"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导联夹子</w:t>
            </w:r>
          </w:p>
        </w:tc>
        <w:tc>
          <w:tcPr>
            <w:tcW w:w="937"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QDGD</w:t>
            </w:r>
          </w:p>
        </w:tc>
        <w:tc>
          <w:tcPr>
            <w:tcW w:w="953"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套</w:t>
            </w:r>
          </w:p>
        </w:tc>
        <w:tc>
          <w:tcPr>
            <w:tcW w:w="953"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trPr>
        <w:tc>
          <w:tcPr>
            <w:tcW w:w="581" w:type="pct"/>
            <w:noWrap w:val="0"/>
            <w:vAlign w:val="top"/>
          </w:tcPr>
          <w:p>
            <w:pPr>
              <w:spacing w:before="93" w:beforeLines="30" w:after="93" w:afterLines="30" w:line="312" w:lineRule="auto"/>
              <w:jc w:val="center"/>
              <w:rPr>
                <w:rFonts w:hint="default"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7</w:t>
            </w:r>
          </w:p>
        </w:tc>
        <w:tc>
          <w:tcPr>
            <w:tcW w:w="1574"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吸球</w:t>
            </w:r>
          </w:p>
        </w:tc>
        <w:tc>
          <w:tcPr>
            <w:tcW w:w="937"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QDGD</w:t>
            </w:r>
          </w:p>
        </w:tc>
        <w:tc>
          <w:tcPr>
            <w:tcW w:w="953"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套</w:t>
            </w:r>
          </w:p>
        </w:tc>
        <w:tc>
          <w:tcPr>
            <w:tcW w:w="953"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trPr>
        <w:tc>
          <w:tcPr>
            <w:tcW w:w="581" w:type="pct"/>
            <w:noWrap w:val="0"/>
            <w:vAlign w:val="top"/>
          </w:tcPr>
          <w:p>
            <w:pPr>
              <w:spacing w:before="93" w:beforeLines="30" w:after="93" w:afterLines="30" w:line="312" w:lineRule="auto"/>
              <w:jc w:val="center"/>
              <w:rPr>
                <w:rFonts w:hint="default"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8</w:t>
            </w:r>
          </w:p>
        </w:tc>
        <w:tc>
          <w:tcPr>
            <w:tcW w:w="1574"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门诊心电放大器</w:t>
            </w:r>
          </w:p>
        </w:tc>
        <w:tc>
          <w:tcPr>
            <w:tcW w:w="937"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MECG-200</w:t>
            </w:r>
          </w:p>
        </w:tc>
        <w:tc>
          <w:tcPr>
            <w:tcW w:w="953"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套</w:t>
            </w:r>
          </w:p>
        </w:tc>
        <w:tc>
          <w:tcPr>
            <w:tcW w:w="953"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trPr>
        <w:tc>
          <w:tcPr>
            <w:tcW w:w="581" w:type="pct"/>
            <w:noWrap w:val="0"/>
            <w:vAlign w:val="top"/>
          </w:tcPr>
          <w:p>
            <w:pPr>
              <w:spacing w:before="93" w:beforeLines="30" w:after="93" w:afterLines="30" w:line="312" w:lineRule="auto"/>
              <w:jc w:val="center"/>
              <w:rPr>
                <w:rFonts w:hint="default"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9</w:t>
            </w:r>
          </w:p>
        </w:tc>
        <w:tc>
          <w:tcPr>
            <w:tcW w:w="1574"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床旁心电放大器</w:t>
            </w:r>
          </w:p>
        </w:tc>
        <w:tc>
          <w:tcPr>
            <w:tcW w:w="937"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MECG-300</w:t>
            </w:r>
          </w:p>
        </w:tc>
        <w:tc>
          <w:tcPr>
            <w:tcW w:w="953"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套</w:t>
            </w:r>
          </w:p>
        </w:tc>
        <w:tc>
          <w:tcPr>
            <w:tcW w:w="953"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trPr>
        <w:tc>
          <w:tcPr>
            <w:tcW w:w="581" w:type="pct"/>
            <w:noWrap w:val="0"/>
            <w:vAlign w:val="top"/>
          </w:tcPr>
          <w:p>
            <w:pPr>
              <w:spacing w:before="93" w:beforeLines="30" w:after="93" w:afterLines="30" w:line="312" w:lineRule="auto"/>
              <w:jc w:val="center"/>
              <w:rPr>
                <w:rFonts w:hint="default"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10</w:t>
            </w:r>
          </w:p>
        </w:tc>
        <w:tc>
          <w:tcPr>
            <w:tcW w:w="1574"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心电平板</w:t>
            </w:r>
          </w:p>
        </w:tc>
        <w:tc>
          <w:tcPr>
            <w:tcW w:w="937"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TB-X505F</w:t>
            </w:r>
          </w:p>
        </w:tc>
        <w:tc>
          <w:tcPr>
            <w:tcW w:w="953"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套</w:t>
            </w:r>
          </w:p>
        </w:tc>
        <w:tc>
          <w:tcPr>
            <w:tcW w:w="953" w:type="pct"/>
            <w:noWrap w:val="0"/>
            <w:vAlign w:val="top"/>
          </w:tcPr>
          <w:p>
            <w:pPr>
              <w:spacing w:before="93" w:beforeLines="30" w:after="93" w:afterLines="30" w:line="312" w:lineRule="auto"/>
              <w:jc w:val="center"/>
              <w:rPr>
                <w:rFonts w:hint="eastAsia" w:asciiTheme="minorEastAsia" w:hAnsiTheme="minorEastAsia" w:eastAsiaTheme="minorEastAsia" w:cstheme="minorEastAsia"/>
                <w:sz w:val="24"/>
                <w:szCs w:val="24"/>
                <w:lang w:val="en-US" w:eastAsia="zh-CN" w:bidi="ar-SA"/>
              </w:rPr>
            </w:pPr>
            <w:r>
              <w:rPr>
                <w:rFonts w:hint="eastAsia" w:asciiTheme="minorEastAsia" w:hAnsiTheme="minorEastAsia" w:eastAsiaTheme="minorEastAsia" w:cstheme="minorEastAsia"/>
                <w:sz w:val="24"/>
                <w:szCs w:val="24"/>
                <w:lang w:val="en-US" w:eastAsia="zh-CN" w:bidi="ar-SA"/>
              </w:rPr>
              <w:t>2</w:t>
            </w:r>
          </w:p>
        </w:tc>
      </w:tr>
    </w:tbl>
    <w:p>
      <w:pPr>
        <w:pStyle w:val="2"/>
        <w:tabs>
          <w:tab w:val="left" w:pos="360"/>
        </w:tabs>
        <w:ind w:left="0" w:leftChars="0" w:firstLine="0" w:firstLineChars="0"/>
      </w:pPr>
    </w:p>
    <w:p>
      <w:pPr>
        <w:pStyle w:val="6"/>
        <w:widowControl w:val="0"/>
        <w:snapToGrid/>
        <w:jc w:val="both"/>
        <w:outlineLvl w:val="0"/>
        <w:rPr>
          <w:rFonts w:hint="eastAsia" w:eastAsia="宋体" w:cs="Times New Roman"/>
          <w:lang w:val="en-US" w:eastAsia="zh-CN"/>
        </w:rPr>
      </w:pPr>
      <w:r>
        <w:rPr>
          <w:rFonts w:hint="eastAsia" w:eastAsia="宋体" w:cs="Times New Roman"/>
          <w:lang w:val="en-US" w:eastAsia="zh-CN"/>
        </w:rPr>
        <w:t>额外服务标准</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1.如医院实际工作需要，每年至少免费提供一次服务器迁移服务。</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2.修改系统原有整体流程及功能或者增加新的系统功能工作量超过10个工作日的。经双方评估工作量后对费用收取进行另行协商按医院相关招议标流程，签订补充协议。</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3.条款未涉及的双方另外协商解决。</w:t>
      </w:r>
    </w:p>
    <w:p>
      <w:pPr>
        <w:pStyle w:val="6"/>
        <w:widowControl w:val="0"/>
        <w:snapToGrid/>
        <w:jc w:val="both"/>
        <w:outlineLvl w:val="0"/>
        <w:rPr>
          <w:rFonts w:hint="eastAsia" w:eastAsia="宋体" w:cs="Times New Roman"/>
          <w:lang w:val="en-US" w:eastAsia="zh-CN"/>
        </w:rPr>
      </w:pPr>
      <w:r>
        <w:rPr>
          <w:rFonts w:hint="eastAsia" w:eastAsia="宋体" w:cs="Times New Roman"/>
          <w:lang w:val="en-US" w:eastAsia="zh-CN"/>
        </w:rPr>
        <w:t>维护方式</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1.热线支持服务：乙方维护服务人员通过热线电话为用户解答操作、技术问题，以及维护工作质量反馈与监督的服务。</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2.远程网络维护服务：乙方通过网络对甲方所使用的系统提供远程维护及调试的服务。</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3.远程无法排除故障，乙方（2小时内）派工程师到现场。</w:t>
      </w:r>
    </w:p>
    <w:p>
      <w:pPr>
        <w:pStyle w:val="6"/>
        <w:widowControl w:val="0"/>
        <w:snapToGrid/>
        <w:jc w:val="both"/>
        <w:outlineLvl w:val="0"/>
        <w:rPr>
          <w:rFonts w:hint="eastAsia" w:eastAsia="宋体" w:cs="Times New Roman"/>
          <w:lang w:val="en-US" w:eastAsia="zh-CN"/>
        </w:rPr>
      </w:pPr>
      <w:r>
        <w:rPr>
          <w:rFonts w:hint="eastAsia" w:eastAsia="宋体" w:cs="Times New Roman"/>
          <w:lang w:val="en-US" w:eastAsia="zh-CN"/>
        </w:rPr>
        <w:t>维护服务响应时间</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乙方在接到甲方通过电话、信函、传真、电子邮件、网上提交等方式提出服务请求后，10分钟内给予响应并安排提供相应类型服务。</w:t>
      </w:r>
    </w:p>
    <w:p>
      <w:pPr>
        <w:pStyle w:val="6"/>
        <w:widowControl w:val="0"/>
        <w:snapToGrid/>
        <w:jc w:val="both"/>
        <w:outlineLvl w:val="0"/>
        <w:rPr>
          <w:rFonts w:hint="eastAsia" w:eastAsia="宋体" w:cs="Times New Roman"/>
          <w:lang w:val="en-US" w:eastAsia="zh-CN"/>
        </w:rPr>
      </w:pPr>
      <w:r>
        <w:rPr>
          <w:rFonts w:hint="eastAsia" w:eastAsia="宋体" w:cs="Times New Roman"/>
          <w:lang w:val="en-US" w:eastAsia="zh-CN"/>
        </w:rPr>
        <w:t>维保制度</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制定总体建设方案，组织专门力量，加强统一管理、指导和服务,实现维保内容中的软件系统的全面运行维护，保证系统正常运转。</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建立日常维护制度，能按要求时限排除故障，能按要求定期对医院系统进行巡检（分析系统运行状况，查看系统日志，排查故障和进行性能优化，进行预防性检测，以防患于未然）；</w:t>
      </w:r>
    </w:p>
    <w:p>
      <w:pPr>
        <w:pStyle w:val="7"/>
        <w:tabs>
          <w:tab w:val="left" w:pos="1260"/>
        </w:tabs>
        <w:rPr>
          <w:rFonts w:hint="eastAsia" w:asciiTheme="minorEastAsia" w:hAnsiTheme="minorEastAsia" w:eastAsiaTheme="minorEastAsia" w:cstheme="minorEastAsia"/>
        </w:rPr>
      </w:pPr>
      <w:bookmarkStart w:id="3" w:name="_Toc163850300"/>
      <w:r>
        <w:rPr>
          <w:rFonts w:hint="eastAsia" w:asciiTheme="minorEastAsia" w:hAnsiTheme="minorEastAsia" w:eastAsiaTheme="minorEastAsia" w:cstheme="minorEastAsia"/>
        </w:rPr>
        <w:t>管理制度</w:t>
      </w:r>
      <w:bookmarkEnd w:id="3"/>
    </w:p>
    <w:p>
      <w:pPr>
        <w:pStyle w:val="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安全管理制度</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1.采取严密的安全措施，防止无关用户进入系统。</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2.数据库管理系统的口令必须由专人掌管，并定期更换。禁止同一人掌管操作系统口令和数据库管理系统口令。</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3.操作人员应有互不相同的用户名操作权限，定期更换操作口令。操作人员认真做好操作记录，严禁泄露自己的操作口令。</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4.各岗位操作权限要严格按岗位职责设置，定期检查操作员的权限。</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5.重要岗位的登录过程应增加必要的限制措施。</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6.建立和完善技术监管系统，定期进行系统的安全性、稳定性、可靠性和异常操作等方面的监管。</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7.业务部门的计算机应定人管理，禁止非本部门人员操作或从事与本部门业务工作无关的工作。</w:t>
      </w:r>
    </w:p>
    <w:p>
      <w:pPr>
        <w:widowControl/>
        <w:adjustRightInd/>
        <w:snapToGrid/>
        <w:spacing w:after="0" w:line="400" w:lineRule="atLeast"/>
        <w:ind w:firstLine="480" w:firstLineChars="200"/>
        <w:jc w:val="left"/>
        <w:rPr>
          <w:rFonts w:hint="eastAsia" w:ascii="宋体" w:hAnsi="宋体" w:eastAsia="宋体" w:cs="宋体"/>
          <w:kern w:val="2"/>
          <w:sz w:val="24"/>
          <w:szCs w:val="24"/>
        </w:rPr>
      </w:pPr>
      <w:bookmarkStart w:id="4" w:name="_Toc122966921"/>
      <w:r>
        <w:rPr>
          <w:rFonts w:hint="eastAsia" w:ascii="宋体" w:hAnsi="宋体" w:eastAsia="宋体" w:cs="宋体"/>
          <w:kern w:val="2"/>
          <w:sz w:val="24"/>
          <w:szCs w:val="24"/>
        </w:rPr>
        <w:t>数据管理制度</w:t>
      </w:r>
      <w:bookmarkEnd w:id="4"/>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8.对维保人员加强经常性的信息系统安全管理教育和培训，增强系统安全防范意识。</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9.要求严格执行系统管理工作流程、业务需求变更处理流程，通过良好的制度管理，将引发故障的可能性降低到最小。</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10.对操作系统以及数据库的各级用户的口令严格管理，一律采用加密存储的方式，并且定期修改各级口令，杜绝任何形式的密码盗用。</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11.根据信息管理职责划分，可分为计算机系统管理员与业务操作人员。其中需要严格规范每一级别计算机系统管理员的数据操作权限，同时根据不同业务操作人员所操作的业务模块的不同，进行角色划分和表操作的合理授权。</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12.加强数据备份工作的检查和管理，防止在出现任何数据故障时，能够进行快速、完整的数据恢复。</w:t>
      </w:r>
    </w:p>
    <w:p>
      <w:pPr>
        <w:pStyle w:val="8"/>
        <w:rPr>
          <w:rFonts w:hint="eastAsia" w:asciiTheme="minorEastAsia" w:hAnsiTheme="minorEastAsia" w:eastAsiaTheme="minorEastAsia" w:cstheme="minorEastAsia"/>
          <w:sz w:val="24"/>
          <w:szCs w:val="24"/>
        </w:rPr>
      </w:pPr>
      <w:bookmarkStart w:id="5" w:name="_Toc122966922"/>
      <w:r>
        <w:rPr>
          <w:rFonts w:hint="eastAsia" w:asciiTheme="minorEastAsia" w:hAnsiTheme="minorEastAsia" w:eastAsiaTheme="minorEastAsia" w:cstheme="minorEastAsia"/>
          <w:sz w:val="24"/>
          <w:szCs w:val="24"/>
        </w:rPr>
        <w:t>人员管理制度</w:t>
      </w:r>
      <w:bookmarkEnd w:id="5"/>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1.多人负责制度：</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每一项与安全有关的活动，都必须有两人或多人在场。这些人员应是主管领导指派的，工作人员忠诚可靠，能胜任此项工作；工作人员应该签署工作情况记录以证明安全工作已得到保障。</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以下各项是与安全有关的活动：</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①访问控制使用证件的发放与回收；</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②信息处理系统使用的媒介发放与回收；</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③处理保密信息；</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④系统的维护；</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⑤系统软件的设计、实现和修改；</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⑥重要程序和数据的删除和销毁等。</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2.任期有限制度：</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一般地讲，任何人最好不要长期担任与安全有关的职务，以免使工作人员认为这个职务是专有的或永久性的。为遵循任期有限原则，工作人员应不定期地循环任职，强制实行休假制度，并规定对工作人员进行轮流培训，以使任期有限制度切实可行。</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3.职责分离制度：</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在信息处理系统工作的人员不要打听、了解或参与职责以外的任何与安全有关的事情，除非系统主管领导批准。</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出于对安全的考虑，下面每组内的两项信息处理工作应当分开。</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①计算机操作与计算机编程；</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②机密资料的接收和传送；</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③安全管理和系统管理；</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④应用程序和系统程序的编制；</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⑤访问证件的管理与其它工作；</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⑥计算机操作与信息处理系统使用媒介的保管等。</w:t>
      </w:r>
    </w:p>
    <w:p>
      <w:pPr>
        <w:pStyle w:val="8"/>
        <w:rPr>
          <w:rFonts w:hint="eastAsia" w:asciiTheme="minorEastAsia" w:hAnsiTheme="minorEastAsia" w:eastAsiaTheme="minorEastAsia" w:cstheme="minorEastAsia"/>
          <w:sz w:val="24"/>
          <w:szCs w:val="24"/>
        </w:rPr>
      </w:pPr>
      <w:bookmarkStart w:id="6" w:name="_Toc122966923"/>
      <w:r>
        <w:rPr>
          <w:rFonts w:hint="eastAsia" w:asciiTheme="minorEastAsia" w:hAnsiTheme="minorEastAsia" w:eastAsiaTheme="minorEastAsia" w:cstheme="minorEastAsia"/>
          <w:sz w:val="24"/>
          <w:szCs w:val="24"/>
        </w:rPr>
        <w:t>信息化工作考核制度</w:t>
      </w:r>
      <w:bookmarkEnd w:id="6"/>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如果服务结果不能达到约定要求，经核实无误，将按考核制度对乙方提出警告或给予扣除相应比例服务费的处罚。</w:t>
      </w:r>
    </w:p>
    <w:p>
      <w:pPr>
        <w:pStyle w:val="7"/>
        <w:tabs>
          <w:tab w:val="left" w:pos="1260"/>
        </w:tabs>
        <w:rPr>
          <w:rFonts w:asciiTheme="minorEastAsia" w:hAnsiTheme="minorEastAsia" w:eastAsiaTheme="minorEastAsia" w:cstheme="minorEastAsia"/>
        </w:rPr>
      </w:pPr>
      <w:r>
        <w:rPr>
          <w:rFonts w:hint="eastAsia" w:asciiTheme="minorEastAsia" w:hAnsiTheme="minorEastAsia" w:eastAsiaTheme="minorEastAsia" w:cstheme="minorEastAsia"/>
        </w:rPr>
        <w:t>应急预案</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出现以下几类突发性问题——设备损坏、线路故障、系统错误、操作失误、病毒破坏及非法入侵，针对以上情况提供相应的紧急情况技术支持，必要时给予现场技术支持。</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1.紧急情况处理流程</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提供24小时开机的专职服务工程师和项目经理联系方式，任何时候都可以及时联系到服务工程师对紧急情况进行处理。</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2.重大情况的处理</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对于对业务造成较大影响，较为复杂的紧急情况，有危急情况处理体系，能快速调动相关资源，尽快解决问题。</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3.灾难应急处理流程</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对于灾难应急处理：</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 xml:space="preserve">(1)制定应急计划 </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(2)应急恢复流程培训</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(3)应急业务恢复</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4.安全事件应急处理流程</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5.紧急情况技术支持：</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设备损坏处理：</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帮助医院设备维修人员一同调试，保障系统正常运行。</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系统错误：</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根据错误原因针对系统进行分析，及时修复。</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操作失误：</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提供系统备份、恢复培训，在出现问题时，指导或协同甲方完成系统恢复工作。</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非法入侵：</w:t>
      </w:r>
    </w:p>
    <w:p>
      <w:pPr>
        <w:widowControl/>
        <w:adjustRightInd/>
        <w:snapToGrid/>
        <w:spacing w:after="0" w:line="400" w:lineRule="atLeast"/>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提供系统专用工具培训工作，使用户掌握漏洞扫描、线路监控等技术，从而定期排查系统的安全隐患。对于已经遭受入侵的系统，为甲方提供相应解决方案。封闭系统的入侵根源。</w:t>
      </w:r>
    </w:p>
    <w:p>
      <w:pPr>
        <w:pStyle w:val="8"/>
        <w:rPr>
          <w:rFonts w:hint="eastAsia" w:asciiTheme="minorEastAsia" w:hAnsiTheme="minorEastAsia" w:eastAsiaTheme="minorEastAsia" w:cstheme="minorEastAsia"/>
          <w:sz w:val="24"/>
          <w:szCs w:val="24"/>
        </w:rPr>
      </w:pPr>
      <w:bookmarkStart w:id="7" w:name="_Toc355456249"/>
      <w:bookmarkStart w:id="8" w:name="_Toc487384522"/>
      <w:bookmarkStart w:id="9" w:name="_Toc487652566"/>
      <w:bookmarkStart w:id="10" w:name="_Toc361176790"/>
      <w:r>
        <w:rPr>
          <w:rFonts w:hint="eastAsia" w:asciiTheme="minorEastAsia" w:hAnsiTheme="minorEastAsia" w:eastAsiaTheme="minorEastAsia" w:cstheme="minorEastAsia"/>
          <w:sz w:val="24"/>
          <w:szCs w:val="24"/>
        </w:rPr>
        <w:t>应急响应</w:t>
      </w:r>
      <w:bookmarkEnd w:id="7"/>
      <w:bookmarkEnd w:id="8"/>
      <w:bookmarkEnd w:id="9"/>
      <w:bookmarkEnd w:id="10"/>
    </w:p>
    <w:p>
      <w:pPr>
        <w:widowControl/>
        <w:spacing w:line="400" w:lineRule="atLeast"/>
        <w:ind w:firstLine="480"/>
        <w:jc w:val="left"/>
        <w:rPr>
          <w:rFonts w:asciiTheme="minorEastAsia" w:hAnsiTheme="minorEastAsia" w:eastAsiaTheme="minorEastAsia" w:cstheme="minorEastAsia"/>
        </w:rPr>
      </w:pPr>
      <w:r>
        <w:rPr>
          <w:rFonts w:hint="eastAsia" w:ascii="宋体" w:hAnsi="宋体" w:eastAsia="宋体" w:cs="宋体"/>
          <w:kern w:val="2"/>
          <w:sz w:val="24"/>
          <w:szCs w:val="24"/>
        </w:rPr>
        <w:t>在全面安全策略的保护下，系统出现紧急情况的可能性大概有如下情况：</w:t>
      </w:r>
    </w:p>
    <w:p>
      <w:pPr>
        <w:pStyle w:val="8"/>
        <w:rPr>
          <w:rFonts w:hint="eastAsia" w:asciiTheme="minorEastAsia" w:hAnsiTheme="minorEastAsia" w:eastAsiaTheme="minorEastAsia" w:cstheme="minorEastAsia"/>
          <w:sz w:val="24"/>
          <w:szCs w:val="24"/>
        </w:rPr>
      </w:pPr>
      <w:bookmarkStart w:id="11" w:name="_Toc361176791"/>
      <w:bookmarkStart w:id="12" w:name="_Toc355456250"/>
      <w:bookmarkStart w:id="13" w:name="_Toc487652567"/>
      <w:r>
        <w:rPr>
          <w:rFonts w:hint="eastAsia" w:asciiTheme="minorEastAsia" w:hAnsiTheme="minorEastAsia" w:eastAsiaTheme="minorEastAsia" w:cstheme="minorEastAsia"/>
          <w:sz w:val="24"/>
          <w:szCs w:val="24"/>
        </w:rPr>
        <w:t>数据库系统故障</w:t>
      </w:r>
      <w:bookmarkEnd w:id="11"/>
      <w:bookmarkEnd w:id="12"/>
      <w:r>
        <w:rPr>
          <w:rFonts w:hint="eastAsia" w:asciiTheme="minorEastAsia" w:hAnsiTheme="minorEastAsia" w:eastAsiaTheme="minorEastAsia" w:cstheme="minorEastAsia"/>
          <w:sz w:val="24"/>
          <w:szCs w:val="24"/>
        </w:rPr>
        <w:t>补救</w:t>
      </w:r>
      <w:bookmarkEnd w:id="13"/>
    </w:p>
    <w:p>
      <w:pPr>
        <w:widowControl/>
        <w:spacing w:line="400" w:lineRule="atLeast"/>
        <w:ind w:firstLine="480"/>
        <w:jc w:val="left"/>
        <w:rPr>
          <w:rFonts w:hint="eastAsia" w:ascii="宋体" w:hAnsi="宋体" w:eastAsia="宋体" w:cs="宋体"/>
          <w:kern w:val="2"/>
          <w:sz w:val="24"/>
          <w:szCs w:val="24"/>
        </w:rPr>
      </w:pPr>
      <w:r>
        <w:rPr>
          <w:rFonts w:hint="eastAsia" w:ascii="宋体" w:hAnsi="宋体" w:eastAsia="宋体" w:cs="宋体"/>
          <w:kern w:val="2"/>
          <w:sz w:val="24"/>
          <w:szCs w:val="24"/>
        </w:rPr>
        <w:t>数据库系统故障情况下，采取策略保障数据库正常运行的，如果需要数据库DBA人员手工恢复，则及时系统安排DBA人员远程或现场服务。</w:t>
      </w:r>
    </w:p>
    <w:p>
      <w:pPr>
        <w:pStyle w:val="8"/>
        <w:rPr>
          <w:rFonts w:asciiTheme="minorEastAsia" w:hAnsiTheme="minorEastAsia" w:eastAsiaTheme="minorEastAsia" w:cstheme="minorEastAsia"/>
          <w:sz w:val="24"/>
          <w:szCs w:val="24"/>
        </w:rPr>
      </w:pPr>
      <w:bookmarkStart w:id="14" w:name="_Toc487384524"/>
      <w:bookmarkStart w:id="15" w:name="_Toc355456251"/>
      <w:bookmarkStart w:id="16" w:name="_Toc361176792"/>
      <w:bookmarkStart w:id="17" w:name="_Toc487652568"/>
      <w:r>
        <w:rPr>
          <w:rFonts w:hint="eastAsia" w:asciiTheme="minorEastAsia" w:hAnsiTheme="minorEastAsia" w:eastAsiaTheme="minorEastAsia" w:cstheme="minorEastAsia"/>
          <w:sz w:val="24"/>
          <w:szCs w:val="24"/>
        </w:rPr>
        <w:t>应用系统故障</w:t>
      </w:r>
      <w:bookmarkEnd w:id="14"/>
      <w:bookmarkEnd w:id="15"/>
      <w:bookmarkEnd w:id="16"/>
      <w:r>
        <w:rPr>
          <w:rFonts w:hint="eastAsia" w:asciiTheme="minorEastAsia" w:hAnsiTheme="minorEastAsia" w:eastAsiaTheme="minorEastAsia" w:cstheme="minorEastAsia"/>
          <w:sz w:val="24"/>
          <w:szCs w:val="24"/>
        </w:rPr>
        <w:t>补救</w:t>
      </w:r>
      <w:bookmarkEnd w:id="17"/>
    </w:p>
    <w:p>
      <w:pPr>
        <w:widowControl/>
        <w:spacing w:line="400" w:lineRule="atLeast"/>
        <w:ind w:firstLine="480"/>
        <w:jc w:val="left"/>
        <w:rPr>
          <w:rFonts w:hint="eastAsia" w:ascii="宋体" w:hAnsi="宋体" w:eastAsia="宋体" w:cs="宋体"/>
          <w:kern w:val="2"/>
          <w:sz w:val="24"/>
          <w:szCs w:val="24"/>
        </w:rPr>
      </w:pPr>
      <w:r>
        <w:rPr>
          <w:rFonts w:hint="eastAsia" w:ascii="宋体" w:hAnsi="宋体" w:eastAsia="宋体" w:cs="宋体"/>
          <w:kern w:val="2"/>
          <w:sz w:val="24"/>
          <w:szCs w:val="24"/>
        </w:rPr>
        <w:t>在正常运行过程中，如出现系统故障，第一时间解决，不影响业务办理。</w:t>
      </w:r>
    </w:p>
    <w:p>
      <w:pPr>
        <w:pStyle w:val="2"/>
        <w:ind w:left="0" w:leftChars="0" w:firstLine="0" w:firstLineChars="0"/>
        <w:rPr>
          <w:rFonts w:hint="default"/>
          <w:lang w:val="en-US" w:eastAsia="zh-CN"/>
        </w:rPr>
      </w:pPr>
    </w:p>
    <w:p>
      <w:pPr>
        <w:pStyle w:val="6"/>
        <w:widowControl w:val="0"/>
        <w:snapToGrid/>
        <w:jc w:val="both"/>
        <w:outlineLvl w:val="0"/>
        <w:rPr>
          <w:rFonts w:hint="default" w:eastAsia="宋体" w:cs="Times New Roman"/>
          <w:lang w:val="en-US" w:eastAsia="zh-CN"/>
        </w:rPr>
      </w:pPr>
      <w:r>
        <w:rPr>
          <w:rFonts w:hint="default" w:eastAsia="宋体" w:cs="Times New Roman"/>
          <w:lang w:val="en-US" w:eastAsia="zh-CN"/>
        </w:rPr>
        <w:t>项目预算说明</w:t>
      </w:r>
    </w:p>
    <w:p>
      <w:pPr>
        <w:widowControl/>
        <w:spacing w:line="400" w:lineRule="atLeast"/>
        <w:ind w:firstLine="480"/>
        <w:jc w:val="left"/>
        <w:rPr>
          <w:rFonts w:hint="default" w:ascii="宋体" w:hAnsi="宋体" w:eastAsia="宋体" w:cs="宋体"/>
          <w:kern w:val="2"/>
          <w:sz w:val="24"/>
          <w:szCs w:val="24"/>
          <w:lang w:val="en-US" w:eastAsia="zh-CN"/>
        </w:rPr>
      </w:pPr>
      <w:r>
        <w:rPr>
          <w:rFonts w:hint="default" w:ascii="宋体" w:hAnsi="宋体" w:eastAsia="宋体" w:cs="宋体"/>
          <w:kern w:val="2"/>
          <w:sz w:val="24"/>
          <w:szCs w:val="24"/>
          <w:lang w:val="en-US" w:eastAsia="zh-CN"/>
        </w:rPr>
        <w:t>本项目以人民币进行结算，项目预算总价包括：完成本项目可能发生的各项费用，包括安装调试、售后维保、培训、实施人员工资、交通、利润、税收、招标代理费、我院现有软件信息系统接口费以及所有有关的管理成本和其他不可预见费等全部费用。</w:t>
      </w:r>
    </w:p>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0AC2C8"/>
    <w:multiLevelType w:val="multilevel"/>
    <w:tmpl w:val="A00AC2C8"/>
    <w:lvl w:ilvl="0" w:tentative="0">
      <w:start w:val="1"/>
      <w:numFmt w:val="decimal"/>
      <w:lvlText w:val="第%1章"/>
      <w:lvlJc w:val="left"/>
      <w:pPr>
        <w:tabs>
          <w:tab w:val="left" w:pos="432"/>
        </w:tabs>
        <w:ind w:left="432" w:hanging="432"/>
      </w:pPr>
      <w:rPr>
        <w:rFonts w:hint="eastAsia"/>
      </w:rPr>
    </w:lvl>
    <w:lvl w:ilvl="1" w:tentative="0">
      <w:start w:val="1"/>
      <w:numFmt w:val="decimal"/>
      <w:pStyle w:val="6"/>
      <w:lvlText w:val="%1.%2"/>
      <w:lvlJc w:val="left"/>
      <w:pPr>
        <w:tabs>
          <w:tab w:val="left" w:pos="576"/>
        </w:tabs>
        <w:ind w:left="576" w:hanging="576"/>
      </w:pPr>
      <w:rPr>
        <w:rFonts w:hint="eastAsia"/>
      </w:rPr>
    </w:lvl>
    <w:lvl w:ilvl="2" w:tentative="0">
      <w:start w:val="1"/>
      <w:numFmt w:val="decimal"/>
      <w:pStyle w:val="7"/>
      <w:lvlText w:val="%1.%2.%3"/>
      <w:lvlJc w:val="left"/>
      <w:pPr>
        <w:tabs>
          <w:tab w:val="left" w:pos="720"/>
        </w:tabs>
        <w:ind w:left="720" w:hanging="720"/>
      </w:pPr>
      <w:rPr>
        <w:rFonts w:hint="eastAsia"/>
      </w:rPr>
    </w:lvl>
    <w:lvl w:ilvl="3" w:tentative="0">
      <w:start w:val="1"/>
      <w:numFmt w:val="decimal"/>
      <w:pStyle w:val="8"/>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26909215"/>
    <w:multiLevelType w:val="singleLevel"/>
    <w:tmpl w:val="26909215"/>
    <w:lvl w:ilvl="0" w:tentative="0">
      <w:start w:val="1"/>
      <w:numFmt w:val="decimal"/>
      <w:suff w:val="nothing"/>
      <w:lvlText w:val="%1．"/>
      <w:lvlJc w:val="left"/>
      <w:pPr>
        <w:ind w:left="0" w:firstLine="400"/>
      </w:pPr>
      <w:rPr>
        <w:rFonts w:hint="default"/>
      </w:rPr>
    </w:lvl>
  </w:abstractNum>
  <w:abstractNum w:abstractNumId="2">
    <w:nsid w:val="7539C38E"/>
    <w:multiLevelType w:val="singleLevel"/>
    <w:tmpl w:val="7539C38E"/>
    <w:lvl w:ilvl="0" w:tentative="0">
      <w:start w:val="1"/>
      <w:numFmt w:val="decimalEnclosedCircleChinese"/>
      <w:suff w:val="nothing"/>
      <w:lvlText w:val="%1　"/>
      <w:lvlJc w:val="left"/>
      <w:pPr>
        <w:ind w:left="0" w:firstLine="400"/>
      </w:pPr>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hdrShapeDefaults>
    <o:shapelayout v:ext="edit">
      <o:idmap v:ext="edit" data="3,4"/>
    </o:shapelayout>
  </w:hdrShapeDefault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ZTA4NzIyN2MxYTlmMzQ1NGE2MjU5NWRkMjhlOGMxYTAifQ=="/>
  </w:docVars>
  <w:rsids>
    <w:rsidRoot w:val="00D31D50"/>
    <w:rsid w:val="001F4A9D"/>
    <w:rsid w:val="002B355F"/>
    <w:rsid w:val="00323B43"/>
    <w:rsid w:val="00357F9F"/>
    <w:rsid w:val="003D37D8"/>
    <w:rsid w:val="00410652"/>
    <w:rsid w:val="00426133"/>
    <w:rsid w:val="004358AB"/>
    <w:rsid w:val="004B6C64"/>
    <w:rsid w:val="00630477"/>
    <w:rsid w:val="00735CBA"/>
    <w:rsid w:val="008B7726"/>
    <w:rsid w:val="008D0FA1"/>
    <w:rsid w:val="00976395"/>
    <w:rsid w:val="00D31D50"/>
    <w:rsid w:val="00DF4F1F"/>
    <w:rsid w:val="05975ED3"/>
    <w:rsid w:val="07DD1645"/>
    <w:rsid w:val="08515A45"/>
    <w:rsid w:val="08ED547B"/>
    <w:rsid w:val="14C12F5A"/>
    <w:rsid w:val="17215F32"/>
    <w:rsid w:val="17490467"/>
    <w:rsid w:val="27B53491"/>
    <w:rsid w:val="2F291787"/>
    <w:rsid w:val="2F9E6C06"/>
    <w:rsid w:val="378A0B3F"/>
    <w:rsid w:val="400F1D41"/>
    <w:rsid w:val="46050649"/>
    <w:rsid w:val="46FC238A"/>
    <w:rsid w:val="482E4A18"/>
    <w:rsid w:val="4A310E75"/>
    <w:rsid w:val="4FC332F2"/>
    <w:rsid w:val="50536B1B"/>
    <w:rsid w:val="54FC46E3"/>
    <w:rsid w:val="58173469"/>
    <w:rsid w:val="5BA67D81"/>
    <w:rsid w:val="5C6A46DF"/>
    <w:rsid w:val="5F0E5793"/>
    <w:rsid w:val="601654D5"/>
    <w:rsid w:val="6114074B"/>
    <w:rsid w:val="62A212A2"/>
    <w:rsid w:val="656071F2"/>
    <w:rsid w:val="672B6457"/>
    <w:rsid w:val="673A6147"/>
    <w:rsid w:val="75977E43"/>
    <w:rsid w:val="791925B5"/>
    <w:rsid w:val="7E4754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paragraph" w:styleId="6">
    <w:name w:val="heading 2"/>
    <w:basedOn w:val="1"/>
    <w:next w:val="1"/>
    <w:qFormat/>
    <w:uiPriority w:val="0"/>
    <w:pPr>
      <w:keepNext/>
      <w:keepLines/>
      <w:numPr>
        <w:ilvl w:val="1"/>
        <w:numId w:val="1"/>
      </w:numPr>
      <w:adjustRightInd w:val="0"/>
      <w:spacing w:before="120" w:after="120" w:line="360" w:lineRule="auto"/>
      <w:ind w:left="0" w:firstLine="0" w:firstLineChars="0"/>
      <w:textAlignment w:val="baseline"/>
      <w:outlineLvl w:val="1"/>
    </w:pPr>
    <w:rPr>
      <w:rFonts w:ascii="宋体" w:hAnsi="宋体"/>
      <w:b/>
      <w:color w:val="000000"/>
      <w:kern w:val="28"/>
      <w:sz w:val="30"/>
      <w:szCs w:val="30"/>
    </w:rPr>
  </w:style>
  <w:style w:type="paragraph" w:styleId="7">
    <w:name w:val="heading 3"/>
    <w:basedOn w:val="1"/>
    <w:next w:val="1"/>
    <w:qFormat/>
    <w:uiPriority w:val="0"/>
    <w:pPr>
      <w:keepNext/>
      <w:keepLines/>
      <w:numPr>
        <w:ilvl w:val="2"/>
        <w:numId w:val="1"/>
      </w:numPr>
      <w:adjustRightInd w:val="0"/>
      <w:spacing w:before="120" w:after="120" w:line="360" w:lineRule="auto"/>
      <w:ind w:left="0" w:firstLine="0" w:firstLineChars="0"/>
      <w:jc w:val="left"/>
      <w:textAlignment w:val="baseline"/>
      <w:outlineLvl w:val="2"/>
    </w:pPr>
    <w:rPr>
      <w:rFonts w:ascii="宋体" w:hAnsi="宋体"/>
      <w:b/>
      <w:kern w:val="0"/>
      <w:sz w:val="28"/>
      <w:szCs w:val="28"/>
    </w:rPr>
  </w:style>
  <w:style w:type="paragraph" w:styleId="8">
    <w:name w:val="heading 4"/>
    <w:basedOn w:val="1"/>
    <w:next w:val="1"/>
    <w:qFormat/>
    <w:uiPriority w:val="0"/>
    <w:pPr>
      <w:keepNext/>
      <w:keepLines/>
      <w:numPr>
        <w:ilvl w:val="3"/>
        <w:numId w:val="1"/>
      </w:numPr>
      <w:adjustRightInd w:val="0"/>
      <w:spacing w:before="120" w:after="120" w:line="360" w:lineRule="auto"/>
      <w:ind w:left="0" w:firstLine="0" w:firstLineChars="0"/>
      <w:jc w:val="left"/>
      <w:textAlignment w:val="baseline"/>
      <w:outlineLvl w:val="3"/>
    </w:pPr>
    <w:rPr>
      <w:rFonts w:ascii="Arial" w:hAnsi="Arial"/>
      <w:szCs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1"/>
    <w:unhideWhenUsed/>
    <w:qFormat/>
    <w:uiPriority w:val="99"/>
    <w:pPr>
      <w:ind w:firstLine="420" w:firstLineChars="100"/>
    </w:pPr>
  </w:style>
  <w:style w:type="paragraph" w:styleId="3">
    <w:name w:val="Body Text"/>
    <w:basedOn w:val="1"/>
    <w:next w:val="4"/>
    <w:qFormat/>
    <w:uiPriority w:val="0"/>
    <w:rPr>
      <w:sz w:val="28"/>
    </w:rPr>
  </w:style>
  <w:style w:type="paragraph" w:customStyle="1" w:styleId="4">
    <w:name w:val="一级条标题"/>
    <w:basedOn w:val="5"/>
    <w:next w:val="1"/>
    <w:qFormat/>
    <w:uiPriority w:val="99"/>
    <w:pPr>
      <w:spacing w:line="240" w:lineRule="auto"/>
      <w:ind w:left="420"/>
      <w:outlineLvl w:val="2"/>
    </w:pPr>
  </w:style>
  <w:style w:type="paragraph" w:customStyle="1" w:styleId="5">
    <w:name w:val="章标题"/>
    <w:next w:val="1"/>
    <w:qFormat/>
    <w:uiPriority w:val="99"/>
    <w:pPr>
      <w:spacing w:line="360" w:lineRule="auto"/>
      <w:jc w:val="both"/>
      <w:outlineLvl w:val="1"/>
    </w:pPr>
    <w:rPr>
      <w:rFonts w:ascii="黑体" w:hAnsi="Times New Roman" w:eastAsia="黑体" w:cs="Times New Roman"/>
      <w:sz w:val="21"/>
      <w:szCs w:val="22"/>
      <w:lang w:val="en-US" w:eastAsia="zh-CN" w:bidi="ar-SA"/>
    </w:rPr>
  </w:style>
  <w:style w:type="paragraph" w:styleId="9">
    <w:name w:val="Body Text 3"/>
    <w:basedOn w:val="1"/>
    <w:qFormat/>
    <w:uiPriority w:val="0"/>
    <w:pPr>
      <w:jc w:val="center"/>
    </w:pPr>
    <w:rPr>
      <w:kern w:val="2"/>
      <w:sz w:val="18"/>
    </w:rPr>
  </w:style>
  <w:style w:type="paragraph" w:styleId="10">
    <w:name w:val="Plain Text"/>
    <w:basedOn w:val="1"/>
    <w:qFormat/>
    <w:uiPriority w:val="99"/>
    <w:rPr>
      <w:rFonts w:ascii="宋体" w:hAnsi="Courier New"/>
      <w:sz w:val="21"/>
      <w:szCs w:val="21"/>
    </w:rPr>
  </w:style>
  <w:style w:type="paragraph" w:styleId="11">
    <w:name w:val="footer"/>
    <w:basedOn w:val="1"/>
    <w:link w:val="19"/>
    <w:semiHidden/>
    <w:unhideWhenUsed/>
    <w:qFormat/>
    <w:uiPriority w:val="99"/>
    <w:pPr>
      <w:tabs>
        <w:tab w:val="center" w:pos="4153"/>
        <w:tab w:val="right" w:pos="8306"/>
      </w:tabs>
    </w:pPr>
    <w:rPr>
      <w:sz w:val="18"/>
      <w:szCs w:val="18"/>
    </w:rPr>
  </w:style>
  <w:style w:type="paragraph" w:styleId="12">
    <w:name w:val="header"/>
    <w:basedOn w:val="1"/>
    <w:link w:val="18"/>
    <w:semiHidden/>
    <w:unhideWhenUsed/>
    <w:qFormat/>
    <w:uiPriority w:val="99"/>
    <w:pPr>
      <w:pBdr>
        <w:bottom w:val="single" w:color="auto" w:sz="6" w:space="1"/>
      </w:pBdr>
      <w:tabs>
        <w:tab w:val="center" w:pos="4153"/>
        <w:tab w:val="right" w:pos="8306"/>
      </w:tabs>
      <w:jc w:val="center"/>
    </w:pPr>
    <w:rPr>
      <w:sz w:val="18"/>
      <w:szCs w:val="18"/>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Emphasis"/>
    <w:basedOn w:val="15"/>
    <w:qFormat/>
    <w:uiPriority w:val="20"/>
    <w:rPr>
      <w:i/>
    </w:rPr>
  </w:style>
  <w:style w:type="paragraph" w:customStyle="1" w:styleId="17">
    <w:name w:val="样式 正文首行缩进 + 首行缩进:  2 字符1 Char Char"/>
    <w:qFormat/>
    <w:uiPriority w:val="0"/>
    <w:pPr>
      <w:widowControl w:val="0"/>
      <w:adjustRightInd w:val="0"/>
      <w:spacing w:line="400" w:lineRule="exact"/>
      <w:ind w:firstLine="480" w:firstLineChars="200"/>
      <w:jc w:val="both"/>
      <w:textAlignment w:val="baseline"/>
    </w:pPr>
    <w:rPr>
      <w:rFonts w:ascii="宋体" w:hAnsi="宋体" w:eastAsia="仿宋_GB2312" w:cs="宋体"/>
      <w:color w:val="000000"/>
      <w:kern w:val="2"/>
      <w:sz w:val="26"/>
      <w:lang w:val="en-US" w:eastAsia="zh-CN" w:bidi="ar-SA"/>
    </w:rPr>
  </w:style>
  <w:style w:type="character" w:customStyle="1" w:styleId="18">
    <w:name w:val="页眉 Char"/>
    <w:basedOn w:val="15"/>
    <w:link w:val="12"/>
    <w:semiHidden/>
    <w:qFormat/>
    <w:uiPriority w:val="99"/>
    <w:rPr>
      <w:rFonts w:ascii="Tahoma" w:hAnsi="Tahoma"/>
      <w:sz w:val="18"/>
      <w:szCs w:val="18"/>
    </w:rPr>
  </w:style>
  <w:style w:type="character" w:customStyle="1" w:styleId="19">
    <w:name w:val="页脚 Char"/>
    <w:basedOn w:val="15"/>
    <w:link w:val="11"/>
    <w:semiHidden/>
    <w:qFormat/>
    <w:uiPriority w:val="99"/>
    <w:rPr>
      <w:rFonts w:ascii="Tahoma" w:hAnsi="Tahoma"/>
      <w:sz w:val="18"/>
      <w:szCs w:val="18"/>
    </w:rPr>
  </w:style>
  <w:style w:type="paragraph" w:styleId="20">
    <w:name w:val="List Paragraph"/>
    <w:basedOn w:val="1"/>
    <w:qFormat/>
    <w:uiPriority w:val="34"/>
    <w:pPr>
      <w:ind w:firstLine="420" w:firstLineChars="200"/>
    </w:pPr>
  </w:style>
  <w:style w:type="character" w:customStyle="1" w:styleId="21">
    <w:name w:val="NormalCharacter"/>
    <w:semiHidden/>
    <w:qFormat/>
    <w:uiPriority w:val="0"/>
  </w:style>
  <w:style w:type="paragraph" w:customStyle="1" w:styleId="22">
    <w:name w:val="无间隔1"/>
    <w:qFormat/>
    <w:uiPriority w:val="0"/>
    <w:pPr>
      <w:widowControl w:val="0"/>
      <w:spacing w:line="360" w:lineRule="auto"/>
      <w:jc w:val="both"/>
    </w:pPr>
    <w:rPr>
      <w:rFonts w:ascii="Times New Roman" w:hAnsi="Times New Roman" w:eastAsia="宋体" w:cs="Times New Roman"/>
      <w:kern w:val="0"/>
      <w:sz w:val="24"/>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92</Words>
  <Characters>530</Characters>
  <Lines>4</Lines>
  <Paragraphs>1</Paragraphs>
  <TotalTime>46</TotalTime>
  <ScaleCrop>false</ScaleCrop>
  <LinksUpToDate>false</LinksUpToDate>
  <CharactersWithSpaces>621</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dcterms:modified xsi:type="dcterms:W3CDTF">2023-10-23T00:32:07Z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4731B65515174E5EBACAABD5C87DC376_12</vt:lpwstr>
  </property>
</Properties>
</file>