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D4AFFD">
      <w:pPr>
        <w:rPr>
          <w:rFonts w:hint="eastAsia" w:ascii="仿宋" w:hAnsi="仿宋" w:eastAsia="仿宋" w:cs="仿宋"/>
          <w:b w:val="0"/>
          <w:bCs/>
          <w:color w:val="000000"/>
          <w:sz w:val="28"/>
          <w:szCs w:val="28"/>
          <w:u w:val="none"/>
          <w:lang w:eastAsia="zh-CN"/>
        </w:rPr>
      </w:pPr>
      <w:r>
        <w:rPr>
          <w:rFonts w:hint="eastAsia" w:ascii="仿宋" w:hAnsi="仿宋" w:eastAsia="仿宋" w:cs="仿宋"/>
          <w:color w:val="000000"/>
          <w:sz w:val="28"/>
          <w:szCs w:val="28"/>
          <w:lang w:val="en-US" w:eastAsia="zh-CN"/>
        </w:rPr>
        <w:t>抗微生物药物处方权规范化培训与考核---</w:t>
      </w:r>
      <w:r>
        <w:rPr>
          <w:rFonts w:hint="eastAsia" w:ascii="仿宋" w:hAnsi="仿宋" w:eastAsia="仿宋" w:cs="仿宋"/>
          <w:b w:val="0"/>
          <w:bCs/>
          <w:color w:val="000000"/>
          <w:sz w:val="28"/>
          <w:szCs w:val="28"/>
          <w:u w:val="none"/>
        </w:rPr>
        <w:t>分专业培训项目</w:t>
      </w:r>
      <w:r>
        <w:rPr>
          <w:rFonts w:hint="eastAsia" w:ascii="仿宋" w:hAnsi="仿宋" w:eastAsia="仿宋" w:cs="仿宋"/>
          <w:b w:val="0"/>
          <w:bCs/>
          <w:color w:val="000000"/>
          <w:sz w:val="28"/>
          <w:szCs w:val="28"/>
          <w:u w:val="none"/>
          <w:lang w:eastAsia="zh-CN"/>
        </w:rPr>
        <w:t>参数</w:t>
      </w:r>
    </w:p>
    <w:p w14:paraId="74F4DD09">
      <w:pPr>
        <w:numPr>
          <w:ilvl w:val="0"/>
          <w:numId w:val="1"/>
        </w:numPr>
        <w:bidi w:val="0"/>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平台需要具备的参数</w:t>
      </w:r>
    </w:p>
    <w:p w14:paraId="2DD9E9DF">
      <w:pPr>
        <w:numPr>
          <w:ilvl w:val="0"/>
          <w:numId w:val="0"/>
        </w:numPr>
        <w:spacing w:line="360" w:lineRule="auto"/>
        <w:ind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strike w:val="0"/>
          <w:dstrike w:val="0"/>
          <w:color w:val="auto"/>
          <w:sz w:val="24"/>
          <w:szCs w:val="24"/>
          <w:lang w:val="en-US" w:eastAsia="zh-CN"/>
        </w:rPr>
        <w:t>1、支持移动平台，可以在手机上利用碎片化时间学习及考试；</w:t>
      </w:r>
    </w:p>
    <w:p w14:paraId="092868DA">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b w:val="0"/>
          <w:bCs w:val="0"/>
          <w:color w:val="auto"/>
          <w:sz w:val="24"/>
          <w:szCs w:val="24"/>
          <w:lang w:val="en-US" w:eastAsia="zh-CN"/>
        </w:rPr>
        <w:t>2</w:t>
      </w:r>
      <w:r>
        <w:rPr>
          <w:rFonts w:hint="eastAsia" w:ascii="仿宋" w:hAnsi="仿宋" w:eastAsia="仿宋" w:cs="仿宋"/>
          <w:b/>
          <w:bCs/>
          <w:color w:val="auto"/>
          <w:sz w:val="24"/>
          <w:szCs w:val="24"/>
          <w:lang w:val="en-US" w:eastAsia="zh-CN"/>
        </w:rPr>
        <w:t>、</w:t>
      </w:r>
      <w:r>
        <w:rPr>
          <w:rFonts w:hint="eastAsia" w:ascii="仿宋" w:hAnsi="仿宋" w:eastAsia="仿宋" w:cs="仿宋"/>
          <w:strike w:val="0"/>
          <w:dstrike w:val="0"/>
          <w:color w:val="auto"/>
          <w:sz w:val="24"/>
          <w:szCs w:val="24"/>
          <w:lang w:val="en-US" w:eastAsia="zh-CN"/>
        </w:rPr>
        <w:t>抗微生物药物课程针对专业配置必修课程及选修课程，每个专业根据专业特点提出必修分、选修分的通过条件。学员可以选择专业进行学习（提供系统截图证明）</w:t>
      </w:r>
    </w:p>
    <w:p w14:paraId="2B45FBAE">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strike w:val="0"/>
          <w:dstrike w:val="0"/>
          <w:color w:val="auto"/>
          <w:sz w:val="24"/>
          <w:szCs w:val="24"/>
          <w:lang w:val="en-US" w:eastAsia="zh-CN"/>
        </w:rPr>
        <w:t>3、专业分类覆盖绝大数临床科室及药学，数量不少70个专业；</w:t>
      </w:r>
    </w:p>
    <w:p w14:paraId="596B3879">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strike w:val="0"/>
          <w:dstrike w:val="0"/>
          <w:color w:val="auto"/>
          <w:sz w:val="24"/>
          <w:szCs w:val="24"/>
          <w:lang w:val="en-US" w:eastAsia="zh-CN"/>
        </w:rPr>
        <w:t>4、抗微生物药物课程总数不少于200门，平台中课程须具有权威性，符合国家政策，抗微生物药物指导原则等规范化指南要求，并由专业抗感染专家授课；</w:t>
      </w:r>
    </w:p>
    <w:p w14:paraId="54BB1DA8">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strike w:val="0"/>
          <w:dstrike w:val="0"/>
          <w:color w:val="auto"/>
          <w:sz w:val="24"/>
          <w:szCs w:val="24"/>
          <w:lang w:val="en-US" w:eastAsia="zh-CN"/>
        </w:rPr>
        <w:t>5、学习之前和培训通过之后针对所选专业进行综合测试；</w:t>
      </w:r>
    </w:p>
    <w:p w14:paraId="65BD2E77">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b/>
          <w:bCs/>
          <w:color w:val="auto"/>
          <w:sz w:val="24"/>
          <w:szCs w:val="24"/>
          <w:lang w:val="en-US" w:eastAsia="zh-CN"/>
        </w:rPr>
        <w:t>、</w:t>
      </w:r>
      <w:r>
        <w:rPr>
          <w:rFonts w:hint="eastAsia" w:ascii="仿宋" w:hAnsi="仿宋" w:eastAsia="仿宋" w:cs="仿宋"/>
          <w:strike w:val="0"/>
          <w:dstrike w:val="0"/>
          <w:color w:val="auto"/>
          <w:sz w:val="24"/>
          <w:szCs w:val="24"/>
          <w:lang w:val="en-US" w:eastAsia="zh-CN"/>
        </w:rPr>
        <w:t>基础抗微生物药物课程包括：抗微生物药物管理、抗微生物药物知识、临床微生物学、手术预防使用、感染影像诊断、政策解读（提供系统截图证明）；</w:t>
      </w:r>
    </w:p>
    <w:p w14:paraId="3230A597">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b w:val="0"/>
          <w:bCs w:val="0"/>
          <w:color w:val="auto"/>
          <w:sz w:val="24"/>
          <w:szCs w:val="24"/>
          <w:lang w:val="en-US" w:eastAsia="zh-CN"/>
        </w:rPr>
        <w:t>7</w:t>
      </w:r>
      <w:r>
        <w:rPr>
          <w:rFonts w:hint="eastAsia" w:ascii="仿宋" w:hAnsi="仿宋" w:eastAsia="仿宋" w:cs="仿宋"/>
          <w:b/>
          <w:bCs/>
          <w:color w:val="auto"/>
          <w:sz w:val="24"/>
          <w:szCs w:val="24"/>
          <w:lang w:val="en-US" w:eastAsia="zh-CN"/>
        </w:rPr>
        <w:t>、</w:t>
      </w:r>
      <w:r>
        <w:rPr>
          <w:rFonts w:hint="eastAsia" w:ascii="仿宋" w:hAnsi="仿宋" w:eastAsia="仿宋" w:cs="仿宋"/>
          <w:strike w:val="0"/>
          <w:dstrike w:val="0"/>
          <w:color w:val="auto"/>
          <w:sz w:val="24"/>
          <w:szCs w:val="24"/>
          <w:lang w:val="en-US" w:eastAsia="zh-CN"/>
        </w:rPr>
        <w:t>专业抗微生物药物课程包括：呼吸系统感染、消化系统感染、发热待查、耳鼻喉科感染、口腔各类感染、中枢系统感染、腹腔各类感染、血流感染诊治、妇科产科感染、骨和关节感染、泌尿系统感染、重症耐药感染（提供系统截图证明）；</w:t>
      </w:r>
    </w:p>
    <w:p w14:paraId="6A356269">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strike w:val="0"/>
          <w:dstrike w:val="0"/>
          <w:color w:val="auto"/>
          <w:sz w:val="24"/>
          <w:szCs w:val="24"/>
          <w:lang w:val="en-US" w:eastAsia="zh-CN"/>
        </w:rPr>
        <w:t>8、课程具有课后测试验证学习效果，测试试题由选择题、单选题、多选题三种题型组成；</w:t>
      </w:r>
    </w:p>
    <w:p w14:paraId="29403C2F">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strike w:val="0"/>
          <w:dstrike w:val="0"/>
          <w:color w:val="auto"/>
          <w:sz w:val="24"/>
          <w:szCs w:val="24"/>
          <w:lang w:val="en-US" w:eastAsia="zh-CN"/>
        </w:rPr>
        <w:t>9、综合试卷及课后测试卷随机抽题组卷，防止刷题；</w:t>
      </w:r>
    </w:p>
    <w:p w14:paraId="26D90E48">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strike w:val="0"/>
          <w:dstrike w:val="0"/>
          <w:color w:val="auto"/>
          <w:sz w:val="24"/>
          <w:szCs w:val="24"/>
          <w:lang w:val="en-US" w:eastAsia="zh-CN"/>
        </w:rPr>
        <w:t>10、具有在线反馈问题功能，用户可以在学习软件上反馈遇到的问题；</w:t>
      </w:r>
    </w:p>
    <w:p w14:paraId="1017AE3B">
      <w:pPr>
        <w:numPr>
          <w:ilvl w:val="0"/>
          <w:numId w:val="0"/>
        </w:numPr>
        <w:spacing w:line="360" w:lineRule="auto"/>
        <w:ind w:leftChars="0"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b w:val="0"/>
          <w:bCs w:val="0"/>
          <w:color w:val="auto"/>
          <w:sz w:val="24"/>
          <w:szCs w:val="24"/>
          <w:lang w:val="en-US" w:eastAsia="zh-CN"/>
        </w:rPr>
        <w:t>11</w:t>
      </w:r>
      <w:r>
        <w:rPr>
          <w:rFonts w:hint="eastAsia" w:ascii="仿宋" w:hAnsi="仿宋" w:eastAsia="仿宋" w:cs="仿宋"/>
          <w:b/>
          <w:bCs/>
          <w:color w:val="auto"/>
          <w:sz w:val="24"/>
          <w:szCs w:val="24"/>
          <w:lang w:val="en-US" w:eastAsia="zh-CN"/>
        </w:rPr>
        <w:t>、</w:t>
      </w:r>
      <w:r>
        <w:rPr>
          <w:rFonts w:hint="eastAsia" w:ascii="仿宋" w:hAnsi="仿宋" w:eastAsia="仿宋" w:cs="仿宋"/>
          <w:strike w:val="0"/>
          <w:dstrike w:val="0"/>
          <w:color w:val="auto"/>
          <w:sz w:val="24"/>
          <w:szCs w:val="24"/>
          <w:lang w:val="en-US" w:eastAsia="zh-CN"/>
        </w:rPr>
        <w:t>学习平台具有专业问题提问与解答功能，平台提供专家资源免费解答抗微生物感染类的专业问题（提供系统截图证明）；</w:t>
      </w:r>
    </w:p>
    <w:p w14:paraId="27ED6AB0">
      <w:pPr>
        <w:numPr>
          <w:ilvl w:val="0"/>
          <w:numId w:val="0"/>
        </w:numPr>
        <w:spacing w:line="360" w:lineRule="auto"/>
        <w:ind w:leftChars="0"/>
        <w:rPr>
          <w:rFonts w:hint="eastAsia" w:ascii="仿宋" w:hAnsi="仿宋" w:eastAsia="仿宋" w:cs="仿宋"/>
          <w:strike w:val="0"/>
          <w:dstrike w:val="0"/>
          <w:color w:val="auto"/>
          <w:sz w:val="24"/>
          <w:szCs w:val="24"/>
          <w:lang w:val="en-US" w:eastAsia="zh-CN"/>
        </w:rPr>
      </w:pPr>
      <w:r>
        <w:rPr>
          <w:rFonts w:hint="eastAsia" w:ascii="仿宋" w:hAnsi="仿宋" w:eastAsia="仿宋" w:cs="仿宋"/>
          <w:b/>
          <w:bCs/>
          <w:color w:val="auto"/>
          <w:sz w:val="24"/>
          <w:szCs w:val="24"/>
          <w:lang w:val="en-US" w:eastAsia="zh-CN"/>
        </w:rPr>
        <w:t xml:space="preserve">    </w:t>
      </w:r>
      <w:r>
        <w:rPr>
          <w:rFonts w:hint="eastAsia" w:ascii="仿宋" w:hAnsi="仿宋" w:eastAsia="仿宋" w:cs="仿宋"/>
          <w:b w:val="0"/>
          <w:bCs w:val="0"/>
          <w:color w:val="auto"/>
          <w:sz w:val="24"/>
          <w:szCs w:val="24"/>
          <w:lang w:val="en-US" w:eastAsia="zh-CN"/>
        </w:rPr>
        <w:t>12、</w:t>
      </w:r>
      <w:r>
        <w:rPr>
          <w:rFonts w:hint="eastAsia" w:ascii="仿宋" w:hAnsi="仿宋" w:eastAsia="仿宋" w:cs="仿宋"/>
          <w:strike w:val="0"/>
          <w:dstrike w:val="0"/>
          <w:color w:val="auto"/>
          <w:sz w:val="24"/>
          <w:szCs w:val="24"/>
          <w:lang w:val="en-US" w:eastAsia="zh-CN"/>
        </w:rPr>
        <w:t>系统提供医院管理台功能，医院管理员随时可以查阅培训进度情况。培训结束后系统导出培训结果文件，供医院处方权授权管理使用。（提供系统截图证明）；</w:t>
      </w:r>
    </w:p>
    <w:p w14:paraId="11472C01">
      <w:pPr>
        <w:numPr>
          <w:ilvl w:val="0"/>
          <w:numId w:val="0"/>
        </w:numPr>
        <w:spacing w:line="360" w:lineRule="auto"/>
        <w:ind w:leftChars="0" w:firstLine="480" w:firstLineChars="200"/>
        <w:rPr>
          <w:rFonts w:hint="eastAsia" w:ascii="仿宋" w:hAnsi="仿宋" w:eastAsia="仿宋" w:cs="仿宋"/>
          <w:b w:val="0"/>
          <w:bCs w:val="0"/>
          <w:strike w:val="0"/>
          <w:dstrike w:val="0"/>
          <w:color w:val="auto"/>
          <w:sz w:val="24"/>
          <w:szCs w:val="24"/>
          <w:lang w:val="en-US" w:eastAsia="zh-CN"/>
        </w:rPr>
      </w:pPr>
      <w:r>
        <w:rPr>
          <w:rFonts w:hint="eastAsia" w:ascii="仿宋" w:hAnsi="仿宋" w:eastAsia="仿宋" w:cs="仿宋"/>
          <w:b w:val="0"/>
          <w:bCs w:val="0"/>
          <w:color w:val="auto"/>
          <w:sz w:val="24"/>
          <w:szCs w:val="24"/>
          <w:lang w:val="en-US" w:eastAsia="zh-CN"/>
        </w:rPr>
        <w:t>13、</w:t>
      </w:r>
      <w:r>
        <w:rPr>
          <w:rFonts w:hint="eastAsia" w:ascii="仿宋" w:hAnsi="仿宋" w:eastAsia="仿宋" w:cs="仿宋"/>
          <w:b w:val="0"/>
          <w:bCs w:val="0"/>
          <w:strike w:val="0"/>
          <w:dstrike w:val="0"/>
          <w:color w:val="auto"/>
          <w:sz w:val="24"/>
          <w:szCs w:val="24"/>
          <w:lang w:val="en-US" w:eastAsia="zh-CN"/>
        </w:rPr>
        <w:t>提供有国家知识产权局颁发的抗菌药物处方权培训平台移动版软著证书、抗菌药物专业论坛系统软著证书、抗菌药物培训课后测试系统软著证书；</w:t>
      </w:r>
    </w:p>
    <w:p w14:paraId="29E9A2E2">
      <w:pPr>
        <w:numPr>
          <w:ilvl w:val="0"/>
          <w:numId w:val="0"/>
        </w:num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14、平台需要具备培训考试合格后提供电子证书功能，同时需要具备在线验证真伪的功能；</w:t>
      </w:r>
    </w:p>
    <w:p w14:paraId="665DFCCB">
      <w:pPr>
        <w:numPr>
          <w:ilvl w:val="0"/>
          <w:numId w:val="0"/>
        </w:numPr>
        <w:spacing w:line="360" w:lineRule="auto"/>
        <w:ind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b w:val="0"/>
          <w:bCs w:val="0"/>
          <w:color w:val="auto"/>
          <w:sz w:val="24"/>
          <w:szCs w:val="24"/>
          <w:lang w:val="en-US" w:eastAsia="zh-CN"/>
        </w:rPr>
        <w:t>15</w:t>
      </w:r>
      <w:r>
        <w:rPr>
          <w:rFonts w:hint="eastAsia" w:ascii="仿宋" w:hAnsi="仿宋" w:eastAsia="仿宋" w:cs="仿宋"/>
          <w:strike w:val="0"/>
          <w:dstrike w:val="0"/>
          <w:color w:val="auto"/>
          <w:sz w:val="24"/>
          <w:szCs w:val="24"/>
          <w:lang w:val="en-US" w:eastAsia="zh-CN"/>
        </w:rPr>
        <w:t>、平台中课程能实现课后测试考试功能且考试卷随机组卷，可防止替学代考；</w:t>
      </w:r>
    </w:p>
    <w:p w14:paraId="0BF82076">
      <w:pPr>
        <w:numPr>
          <w:ilvl w:val="0"/>
          <w:numId w:val="0"/>
        </w:numPr>
        <w:spacing w:line="360" w:lineRule="auto"/>
        <w:ind w:firstLine="480" w:firstLineChars="200"/>
        <w:rPr>
          <w:rFonts w:hint="eastAsia" w:ascii="仿宋" w:hAnsi="仿宋" w:eastAsia="仿宋" w:cs="仿宋"/>
          <w:strike w:val="0"/>
          <w:dstrike w:val="0"/>
          <w:color w:val="auto"/>
          <w:sz w:val="24"/>
          <w:szCs w:val="24"/>
          <w:lang w:val="en-US" w:eastAsia="zh-CN"/>
        </w:rPr>
      </w:pPr>
      <w:r>
        <w:rPr>
          <w:rFonts w:hint="eastAsia" w:ascii="仿宋" w:hAnsi="仿宋" w:eastAsia="仿宋" w:cs="仿宋"/>
          <w:strike w:val="0"/>
          <w:dstrike w:val="0"/>
          <w:color w:val="auto"/>
          <w:sz w:val="24"/>
          <w:szCs w:val="24"/>
          <w:lang w:val="en-US" w:eastAsia="zh-CN"/>
        </w:rPr>
        <w:t>16、平台须具有申请国家级Ⅰ类继教学分的功能；学分申请的工本费由学员个人承担；</w:t>
      </w:r>
    </w:p>
    <w:p w14:paraId="6E1CE0C7">
      <w:pPr>
        <w:numPr>
          <w:ilvl w:val="0"/>
          <w:numId w:val="0"/>
        </w:numPr>
        <w:spacing w:line="360" w:lineRule="auto"/>
        <w:ind w:leftChars="0"/>
        <w:rPr>
          <w:rFonts w:hint="eastAsia" w:ascii="仿宋" w:hAnsi="仿宋" w:eastAsia="仿宋" w:cs="仿宋"/>
          <w:strike w:val="0"/>
          <w:dstrike w:val="0"/>
          <w:color w:val="auto"/>
          <w:sz w:val="24"/>
          <w:szCs w:val="24"/>
          <w:lang w:val="en-US" w:eastAsia="zh-CN"/>
        </w:rPr>
      </w:pPr>
      <w:r>
        <w:rPr>
          <w:rFonts w:hint="eastAsia" w:ascii="仿宋" w:hAnsi="仿宋" w:eastAsia="仿宋" w:cs="仿宋"/>
          <w:strike w:val="0"/>
          <w:dstrike w:val="0"/>
          <w:color w:val="auto"/>
          <w:sz w:val="24"/>
          <w:szCs w:val="24"/>
          <w:lang w:val="en-US" w:eastAsia="zh-CN"/>
        </w:rPr>
        <w:t>二、</w:t>
      </w:r>
      <w:r>
        <w:rPr>
          <w:rFonts w:hint="eastAsia" w:ascii="仿宋" w:hAnsi="仿宋" w:eastAsia="仿宋" w:cs="仿宋"/>
          <w:b/>
          <w:bCs/>
          <w:strike w:val="0"/>
          <w:dstrike w:val="0"/>
          <w:color w:val="auto"/>
          <w:sz w:val="24"/>
          <w:szCs w:val="24"/>
          <w:lang w:val="en-US" w:eastAsia="zh-CN"/>
        </w:rPr>
        <w:t>使用培训周期要求：</w:t>
      </w:r>
      <w:r>
        <w:rPr>
          <w:rFonts w:hint="eastAsia" w:ascii="仿宋" w:hAnsi="仿宋" w:eastAsia="仿宋" w:cs="仿宋"/>
          <w:strike w:val="0"/>
          <w:dstrike w:val="0"/>
          <w:color w:val="auto"/>
          <w:sz w:val="24"/>
          <w:szCs w:val="24"/>
          <w:lang w:val="en-US" w:eastAsia="zh-CN"/>
        </w:rPr>
        <w:t>培训使用周期3个月，</w:t>
      </w:r>
      <w:r>
        <w:rPr>
          <w:rFonts w:hint="eastAsia" w:ascii="仿宋" w:hAnsi="仿宋" w:eastAsia="仿宋" w:cs="仿宋"/>
          <w:color w:val="auto"/>
          <w:sz w:val="24"/>
          <w:szCs w:val="24"/>
          <w:lang w:val="en-US" w:eastAsia="zh-CN"/>
        </w:rPr>
        <w:t>合同签订后7个工作日内交货使用，使用期间出现任何问题2小时内响应解决。</w:t>
      </w:r>
    </w:p>
    <w:p w14:paraId="0B3F604F">
      <w:pPr>
        <w:spacing w:line="360" w:lineRule="auto"/>
        <w:rPr>
          <w:rFonts w:hint="eastAsia" w:ascii="仿宋" w:hAnsi="仿宋" w:eastAsia="仿宋" w:cs="仿宋"/>
          <w:strike w:val="0"/>
          <w:dstrike w:val="0"/>
          <w:color w:val="auto"/>
          <w:sz w:val="24"/>
          <w:szCs w:val="24"/>
          <w:lang w:val="en-US" w:eastAsia="zh-CN"/>
        </w:rPr>
      </w:pPr>
      <w:r>
        <w:rPr>
          <w:rFonts w:hint="eastAsia" w:ascii="仿宋" w:hAnsi="仿宋" w:eastAsia="仿宋" w:cs="仿宋"/>
          <w:b/>
          <w:bCs/>
          <w:strike w:val="0"/>
          <w:dstrike w:val="0"/>
          <w:color w:val="auto"/>
          <w:sz w:val="24"/>
          <w:szCs w:val="24"/>
          <w:lang w:val="en-US" w:eastAsia="zh-CN"/>
        </w:rPr>
        <w:t>三</w:t>
      </w:r>
      <w:r>
        <w:rPr>
          <w:rFonts w:hint="eastAsia" w:ascii="仿宋" w:hAnsi="仿宋" w:eastAsia="仿宋" w:cs="仿宋"/>
          <w:b/>
          <w:bCs/>
          <w:strike w:val="0"/>
          <w:dstrike w:val="0"/>
          <w:color w:val="FF0000"/>
          <w:sz w:val="24"/>
          <w:szCs w:val="24"/>
          <w:lang w:val="en-US" w:eastAsia="zh-CN"/>
        </w:rPr>
        <w:t>、</w:t>
      </w:r>
      <w:r>
        <w:rPr>
          <w:rFonts w:hint="eastAsia" w:ascii="仿宋" w:hAnsi="仿宋" w:eastAsia="仿宋" w:cs="仿宋"/>
          <w:b/>
          <w:bCs/>
          <w:strike w:val="0"/>
          <w:dstrike w:val="0"/>
          <w:color w:val="auto"/>
          <w:sz w:val="24"/>
          <w:szCs w:val="24"/>
          <w:lang w:val="en-US" w:eastAsia="zh-CN"/>
        </w:rPr>
        <w:t>采购预算相关事宜要求</w:t>
      </w:r>
      <w:r>
        <w:rPr>
          <w:rFonts w:hint="eastAsia" w:ascii="仿宋" w:hAnsi="仿宋" w:eastAsia="仿宋" w:cs="仿宋"/>
          <w:strike w:val="0"/>
          <w:dstrike w:val="0"/>
          <w:color w:val="auto"/>
          <w:sz w:val="24"/>
          <w:szCs w:val="24"/>
          <w:lang w:val="en-US" w:eastAsia="zh-CN"/>
        </w:rPr>
        <w:t>：单人不得超过128元/人，按实际发生人数结算，采购预算不得超过7万元人民币。</w:t>
      </w:r>
      <w:bookmarkStart w:id="0" w:name="_GoBack"/>
      <w:bookmarkEnd w:id="0"/>
    </w:p>
    <w:p w14:paraId="46822D8D">
      <w:pPr>
        <w:spacing w:line="360" w:lineRule="auto"/>
        <w:rPr>
          <w:rFonts w:hint="eastAsia" w:ascii="仿宋" w:hAnsi="仿宋" w:eastAsia="仿宋" w:cs="仿宋"/>
          <w:b/>
          <w:bCs/>
          <w:strike w:val="0"/>
          <w:dstrike w:val="0"/>
          <w:color w:val="auto"/>
          <w:sz w:val="24"/>
          <w:szCs w:val="24"/>
          <w:lang w:val="en-US" w:eastAsia="zh-CN"/>
        </w:rPr>
      </w:pPr>
      <w:r>
        <w:rPr>
          <w:rFonts w:hint="eastAsia" w:ascii="仿宋" w:hAnsi="仿宋" w:eastAsia="仿宋" w:cs="仿宋"/>
          <w:b/>
          <w:bCs/>
          <w:strike w:val="0"/>
          <w:dstrike w:val="0"/>
          <w:color w:val="auto"/>
          <w:sz w:val="24"/>
          <w:szCs w:val="24"/>
          <w:lang w:val="en-US" w:eastAsia="zh-CN"/>
        </w:rPr>
        <w:t>四、资质要求;</w:t>
      </w:r>
    </w:p>
    <w:p w14:paraId="04ED9E0B">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1、具有独立承担民事责任的能力；</w:t>
      </w:r>
    </w:p>
    <w:p w14:paraId="6E9F3761">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2、具有良好的商业信誉和健全的财务会计制度；</w:t>
      </w:r>
    </w:p>
    <w:p w14:paraId="576F06B0">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3、具有履行合同所必需的设备和专业技术能力；</w:t>
      </w:r>
    </w:p>
    <w:p w14:paraId="2C039DD9">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4、有依法缴纳税收和社会保障资金的良好记录；</w:t>
      </w:r>
    </w:p>
    <w:p w14:paraId="15236618">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5、法律、行政法规规定的其他条件。</w:t>
      </w:r>
    </w:p>
    <w:p w14:paraId="687989F5">
      <w:pPr>
        <w:spacing w:line="360" w:lineRule="auto"/>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五、履约验收方案及付款条件和方式：</w:t>
      </w:r>
    </w:p>
    <w:p w14:paraId="3D7E66F0">
      <w:pPr>
        <w:spacing w:line="360" w:lineRule="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1、履约验收方案</w:t>
      </w:r>
    </w:p>
    <w:p w14:paraId="245CAF1A">
      <w:pPr>
        <w:spacing w:line="360" w:lineRule="auto"/>
        <w:ind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合同签订后由医院提供培训名单，乙方负责导入名单并指导医院了解培训流程，支持培训过程的一切技术售后包括培训结果的统计上报，协助管理人员完成抗微生物药物处方权的执行；</w:t>
      </w:r>
    </w:p>
    <w:p w14:paraId="02542F3A">
      <w:pPr>
        <w:numPr>
          <w:ilvl w:val="0"/>
          <w:numId w:val="2"/>
        </w:numPr>
        <w:spacing w:line="360" w:lineRule="auto"/>
        <w:ind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付款条件及支付方式</w:t>
      </w:r>
    </w:p>
    <w:p w14:paraId="113FA86B">
      <w:pPr>
        <w:rPr>
          <w:rFonts w:hint="eastAsia" w:ascii="仿宋" w:hAnsi="仿宋" w:eastAsia="仿宋" w:cs="仿宋"/>
          <w:b w:val="0"/>
          <w:bCs/>
          <w:color w:val="000000"/>
          <w:sz w:val="28"/>
          <w:szCs w:val="28"/>
          <w:u w:val="none"/>
          <w:lang w:eastAsia="zh-CN"/>
        </w:rPr>
      </w:pPr>
      <w:r>
        <w:rPr>
          <w:rFonts w:hint="eastAsia" w:ascii="仿宋" w:hAnsi="仿宋" w:eastAsia="仿宋" w:cs="仿宋"/>
          <w:color w:val="000000"/>
          <w:sz w:val="24"/>
          <w:szCs w:val="24"/>
          <w:lang w:val="en-US" w:eastAsia="zh-CN"/>
        </w:rPr>
        <w:t>合同签订后7个工作日内收到乙方开具的发票后付先50%合同款，余下合同款等培训结束后收到乙方发票后7个工作日内付清。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97FF0"/>
    <w:multiLevelType w:val="singleLevel"/>
    <w:tmpl w:val="0D197FF0"/>
    <w:lvl w:ilvl="0" w:tentative="0">
      <w:start w:val="2"/>
      <w:numFmt w:val="decimal"/>
      <w:suff w:val="nothing"/>
      <w:lvlText w:val="%1、"/>
      <w:lvlJc w:val="left"/>
    </w:lvl>
  </w:abstractNum>
  <w:abstractNum w:abstractNumId="1">
    <w:nsid w:val="6D54AD2B"/>
    <w:multiLevelType w:val="singleLevel"/>
    <w:tmpl w:val="6D54AD2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xZmQwMzJjNGE5MTliZWU2YTY0YTVhYmYxOTY4OWUifQ=="/>
  </w:docVars>
  <w:rsids>
    <w:rsidRoot w:val="2D454EF3"/>
    <w:rsid w:val="0563155B"/>
    <w:rsid w:val="2D454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1205</Words>
  <Characters>1219</Characters>
  <Lines>0</Lines>
  <Paragraphs>0</Paragraphs>
  <TotalTime>1</TotalTime>
  <ScaleCrop>false</ScaleCrop>
  <LinksUpToDate>false</LinksUpToDate>
  <CharactersWithSpaces>1227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2024-07-15T07:31:00Z</dcterms:created>
  <dc:creator>WPS_1489542910</dc:creator>
  <cp:lastModifiedBy>-陈奕迅和他的猫-</cp:lastModifiedBy>
  <dcterms:modified xsi:type="dcterms:W3CDTF">2024-09-12T06:54:28Z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858A2DCA078A483FA13449683EBE847D_13</vt:lpwstr>
  </property>
</Properties>
</file>