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24A96">
      <w:pPr>
        <w:jc w:val="center"/>
        <w:rPr>
          <w:rFonts w:hint="default" w:ascii="仿宋" w:hAnsi="仿宋" w:eastAsia="仿宋" w:cs="仿宋"/>
          <w:sz w:val="32"/>
          <w:szCs w:val="32"/>
          <w:vertAlign w:val="baseline"/>
          <w:lang w:val="en-US" w:eastAsia="zh-CN"/>
        </w:rPr>
      </w:pPr>
      <w:r>
        <w:rPr>
          <w:rFonts w:hint="eastAsia" w:ascii="仿宋" w:hAnsi="仿宋" w:eastAsia="仿宋" w:cs="仿宋"/>
          <w:b w:val="0"/>
          <w:bCs w:val="0"/>
          <w:spacing w:val="-2"/>
          <w:sz w:val="32"/>
          <w:szCs w:val="32"/>
          <w:lang w:val="en-US" w:eastAsia="zh-CN"/>
        </w:rPr>
        <w:t>医院供水设施清洗消毒项目参数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2148"/>
        <w:gridCol w:w="1236"/>
        <w:gridCol w:w="9164"/>
      </w:tblGrid>
      <w:tr w14:paraId="3667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9" w:type="dxa"/>
            <w:vAlign w:val="center"/>
          </w:tcPr>
          <w:p w14:paraId="68CDEA06">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项目</w:t>
            </w:r>
          </w:p>
        </w:tc>
        <w:tc>
          <w:tcPr>
            <w:tcW w:w="2148" w:type="dxa"/>
            <w:vAlign w:val="center"/>
          </w:tcPr>
          <w:p w14:paraId="13ED9B78">
            <w:pPr>
              <w:jc w:val="center"/>
              <w:rPr>
                <w:rFonts w:hint="default"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kern w:val="2"/>
                <w:sz w:val="24"/>
                <w:szCs w:val="24"/>
                <w:vertAlign w:val="baseline"/>
                <w:lang w:val="en-US" w:eastAsia="zh-CN" w:bidi="ar-SA"/>
              </w:rPr>
              <w:t>清洗消毒区域</w:t>
            </w:r>
          </w:p>
        </w:tc>
        <w:tc>
          <w:tcPr>
            <w:tcW w:w="1236" w:type="dxa"/>
            <w:vAlign w:val="center"/>
          </w:tcPr>
          <w:p w14:paraId="3DC1726D">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次数</w:t>
            </w:r>
          </w:p>
        </w:tc>
        <w:tc>
          <w:tcPr>
            <w:tcW w:w="9164" w:type="dxa"/>
            <w:vAlign w:val="center"/>
          </w:tcPr>
          <w:p w14:paraId="7060F4B4">
            <w:pPr>
              <w:jc w:val="center"/>
              <w:rPr>
                <w:rFonts w:hint="eastAsia" w:ascii="仿宋" w:hAnsi="仿宋" w:eastAsia="仿宋" w:cs="仿宋"/>
                <w:b w:val="0"/>
                <w:bCs w:val="0"/>
                <w:kern w:val="2"/>
                <w:sz w:val="24"/>
                <w:szCs w:val="24"/>
                <w:vertAlign w:val="baseline"/>
                <w:lang w:val="en-US" w:eastAsia="zh-CN" w:bidi="ar-SA"/>
              </w:rPr>
            </w:pPr>
            <w:r>
              <w:rPr>
                <w:rFonts w:hint="eastAsia" w:ascii="仿宋" w:hAnsi="仿宋" w:eastAsia="仿宋" w:cs="仿宋"/>
                <w:b w:val="0"/>
                <w:bCs w:val="0"/>
                <w:sz w:val="24"/>
                <w:szCs w:val="24"/>
                <w:vertAlign w:val="baseline"/>
                <w:lang w:val="en-US" w:eastAsia="zh-CN"/>
              </w:rPr>
              <w:t>备注</w:t>
            </w:r>
          </w:p>
        </w:tc>
      </w:tr>
      <w:tr w14:paraId="2624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0" w:hRule="atLeast"/>
        </w:trPr>
        <w:tc>
          <w:tcPr>
            <w:tcW w:w="1369" w:type="dxa"/>
            <w:vAlign w:val="center"/>
          </w:tcPr>
          <w:p w14:paraId="2FA04BBC">
            <w:pPr>
              <w:jc w:val="both"/>
              <w:rPr>
                <w:rFonts w:hint="default" w:ascii="仿宋" w:hAnsi="仿宋" w:eastAsia="仿宋" w:cs="仿宋"/>
                <w:sz w:val="24"/>
                <w:szCs w:val="24"/>
                <w:vertAlign w:val="baseline"/>
                <w:lang w:val="en-US" w:eastAsia="zh-CN"/>
              </w:rPr>
            </w:pPr>
            <w:r>
              <w:rPr>
                <w:rFonts w:hint="eastAsia" w:ascii="仿宋" w:hAnsi="仿宋" w:eastAsia="仿宋" w:cs="仿宋"/>
                <w:b w:val="0"/>
                <w:bCs w:val="0"/>
                <w:spacing w:val="-2"/>
                <w:sz w:val="24"/>
                <w:szCs w:val="24"/>
                <w:lang w:val="en-US" w:eastAsia="zh-CN"/>
              </w:rPr>
              <w:t>生活饮用水二次供水设施清洗消毒</w:t>
            </w:r>
          </w:p>
        </w:tc>
        <w:tc>
          <w:tcPr>
            <w:tcW w:w="2148" w:type="dxa"/>
            <w:vAlign w:val="center"/>
          </w:tcPr>
          <w:p w14:paraId="571D4B4F">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医院总容量为720立方米的2个蓄水池</w:t>
            </w:r>
          </w:p>
        </w:tc>
        <w:tc>
          <w:tcPr>
            <w:tcW w:w="1236" w:type="dxa"/>
            <w:vAlign w:val="center"/>
          </w:tcPr>
          <w:p w14:paraId="4E134E0C">
            <w:p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每年2次</w:t>
            </w:r>
          </w:p>
        </w:tc>
        <w:tc>
          <w:tcPr>
            <w:tcW w:w="9164" w:type="dxa"/>
          </w:tcPr>
          <w:p w14:paraId="0C40232B">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根据院方用水情况，尽量避开院方的高峰用水时间，在清洗消毒时限内完成</w:t>
            </w:r>
          </w:p>
          <w:p w14:paraId="4743936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严格按照政府有关规定，认真做好水池的清洁、消毒工作；清洗消毒做好个人自身防护，防范设备事故和人员伤害，清洗消毒过程中产生任何意外事故，由清洗消毒方全权负责，并承担所有费用。</w:t>
            </w:r>
          </w:p>
          <w:p w14:paraId="233D3814">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清洗消毒完毕后，负责与西宁市城中区卫生监督所联系现场水样取样、检测水池（箱）水质达到国家饮用水卫生标准；</w:t>
            </w:r>
          </w:p>
          <w:p w14:paraId="32C3D3F1">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向院方提供二次供水管理技术咨询，对不符合规范的，提出整改意见；</w:t>
            </w:r>
          </w:p>
          <w:p w14:paraId="2FDB877F">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使用的消毒药物符合卫生标准，须在工作单上注明所使用药品名称及用量（投放比例说明），并将用药品的产品合格证明文件、水池水箱清洗消毒记录、从业人员名单和健康证明及清洗方资质提交院方存档。</w:t>
            </w:r>
          </w:p>
          <w:p w14:paraId="2F0270ED">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负责提供医院年度每季度生活饮用水二次供水4次水质检验报告（含2次清洗消毒后2次水质检验报告）。</w:t>
            </w:r>
          </w:p>
          <w:p w14:paraId="63A95F3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负责提供医院水务人员健康证明。</w:t>
            </w:r>
          </w:p>
          <w:p w14:paraId="2B6426EA">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本项目最高限价1.2万元/年（供水设施清洗消毒费），合同期3年。</w:t>
            </w:r>
          </w:p>
          <w:p w14:paraId="2EEA1A3F">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付款方式：每年度清洗方完成两次清洗消毒，提供4次水质检验报告、并提供本年度全额增值税普通发票后根据医院财务一次性全额付款。 </w:t>
            </w:r>
          </w:p>
          <w:p w14:paraId="202A472D">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left="0" w:leftChars="0" w:firstLine="0" w:firstLineChars="0"/>
              <w:jc w:val="both"/>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履约保证金的支付：合同签订后15日内，乙方向甲方缴纳合同金额的10%作为履约保证金。乙方年度第一次清洗消毒结束后并出具生活饮用水二次供水水质检验报告，甲方无息返还履约保证金。</w:t>
            </w:r>
          </w:p>
        </w:tc>
      </w:tr>
    </w:tbl>
    <w:p w14:paraId="27D8A8D0">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EE15B5"/>
    <w:multiLevelType w:val="singleLevel"/>
    <w:tmpl w:val="16EE15B5"/>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MDk0MmQ1MWMyZmU5YWFmNTc2MTE2NjFlMTQ4YjkifQ=="/>
  </w:docVars>
  <w:rsids>
    <w:rsidRoot w:val="0B065D29"/>
    <w:rsid w:val="00427858"/>
    <w:rsid w:val="0B065D29"/>
    <w:rsid w:val="0F1F7676"/>
    <w:rsid w:val="0FDE2C87"/>
    <w:rsid w:val="24C104E5"/>
    <w:rsid w:val="28353FCB"/>
    <w:rsid w:val="2B3866FD"/>
    <w:rsid w:val="343F1E16"/>
    <w:rsid w:val="368E0C78"/>
    <w:rsid w:val="3BE9594B"/>
    <w:rsid w:val="3D3D4593"/>
    <w:rsid w:val="4D711A84"/>
    <w:rsid w:val="4ECB79C0"/>
    <w:rsid w:val="583B0BE8"/>
    <w:rsid w:val="663F2F14"/>
    <w:rsid w:val="6F6D1B7D"/>
    <w:rsid w:val="75216350"/>
    <w:rsid w:val="7ECE6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83" w:beforeLines="0" w:afterLines="0"/>
      <w:ind w:left="1029"/>
    </w:pPr>
    <w:rPr>
      <w:rFonts w:hint="eastAsia" w:ascii="宋体"/>
      <w:sz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622</Words>
  <Characters>631</Characters>
  <Lines>0</Lines>
  <Paragraphs>0</Paragraphs>
  <TotalTime>20</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2021-03-11T06:33:00Z</dcterms:created>
  <dc:creator>羊肠面</dc:creator>
  <cp:lastModifiedBy>Dragon</cp:lastModifiedBy>
  <dcterms:modified xsi:type="dcterms:W3CDTF">2026-03-12T03:45:18Z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FB8F4CDAFFB64414A66116291EA627F4_13</vt:lpwstr>
  </property>
  <property fmtid="{D5CDD505-2E9C-101B-9397-08002B2CF9AE}" pid="4" name="KSOTemplateDocerSaveRecord">
    <vt:lpwstr>eyJoZGlkIjoiMWFiYWU0YWM3ZTE0MTQxYzAwMWQ0OTE3ZmQyOTVhNmQiLCJ1c2VySWQiOiI5NTQyMjUyMjcifQ==</vt:lpwstr>
  </property>
</Properties>
</file>