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/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门诊楼地下室立体停车场维护项目参数</w:t>
      </w:r>
    </w:p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一、项目基本概况：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 xml:space="preserve">1. 项目名称： </w:t>
      </w:r>
      <w:r>
        <w:rPr>
          <w:rFonts w:hint="eastAsia" w:ascii="宋体" w:hAnsi="宋体" w:eastAsia="宋体"/>
          <w:sz w:val="22"/>
          <w:szCs w:val="22"/>
        </w:rPr>
        <w:t>门诊楼地下室立体停车场维护</w:t>
      </w:r>
      <w:r>
        <w:rPr>
          <w:rFonts w:ascii="宋体" w:hAnsi="宋体" w:eastAsia="宋体"/>
          <w:sz w:val="22"/>
          <w:szCs w:val="22"/>
        </w:rPr>
        <w:t>项目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 服务期限：</w:t>
      </w:r>
      <w:r>
        <w:rPr>
          <w:rFonts w:hint="eastAsia" w:ascii="宋体" w:hAnsi="宋体" w:eastAsia="宋体"/>
          <w:sz w:val="22"/>
          <w:szCs w:val="22"/>
        </w:rPr>
        <w:t>一</w:t>
      </w:r>
      <w:r>
        <w:rPr>
          <w:rFonts w:ascii="宋体" w:hAnsi="宋体" w:eastAsia="宋体"/>
          <w:sz w:val="22"/>
          <w:szCs w:val="22"/>
        </w:rPr>
        <w:t>年（自合同签订生效</w:t>
      </w:r>
      <w:r>
        <w:rPr>
          <w:rFonts w:hint="eastAsia" w:ascii="宋体" w:hAnsi="宋体" w:eastAsia="宋体"/>
          <w:sz w:val="22"/>
          <w:szCs w:val="22"/>
          <w:lang w:eastAsia="zh-CN"/>
        </w:rPr>
        <w:t>后乙方正式提供首次服务</w:t>
      </w:r>
      <w:r>
        <w:rPr>
          <w:rFonts w:ascii="宋体" w:hAnsi="宋体" w:eastAsia="宋体"/>
          <w:sz w:val="22"/>
          <w:szCs w:val="22"/>
        </w:rPr>
        <w:t>之日起计算）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 车位规模：机械式立体停车设备共计62 个车位，包含升降横移类立体停车设备主体、载车板、传动系统、电气控制系统、安全防护装置等全套配套设施设备。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4. 维保总价：本项目年度维保服务总价为人民币 6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5</w:t>
      </w:r>
      <w:r>
        <w:rPr>
          <w:rFonts w:ascii="宋体" w:hAnsi="宋体" w:eastAsia="宋体"/>
          <w:sz w:val="22"/>
          <w:szCs w:val="22"/>
        </w:rPr>
        <w:t>000 元整（含税），此价格为固定包干价，涵盖维保期间人工、耗材、常规检修、应急维修、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1000</w:t>
      </w:r>
      <w:r>
        <w:rPr>
          <w:rFonts w:ascii="宋体" w:hAnsi="宋体" w:eastAsia="宋体"/>
          <w:sz w:val="22"/>
          <w:szCs w:val="22"/>
        </w:rPr>
        <w:t>元以下设备配件更换等全部费用，合同期内不作任何价格调整。</w:t>
      </w:r>
    </w:p>
    <w:p>
      <w:pPr>
        <w:spacing w:line="360" w:lineRule="auto"/>
        <w:ind w:firstLine="440" w:firstLineChars="200"/>
        <w:rPr>
          <w:rFonts w:hint="default" w:ascii="宋体" w:hAnsi="宋体" w:eastAsia="宋体"/>
          <w:sz w:val="22"/>
          <w:szCs w:val="22"/>
          <w:lang w:val="en-US"/>
        </w:rPr>
      </w:pPr>
      <w:r>
        <w:rPr>
          <w:rFonts w:ascii="宋体" w:hAnsi="宋体" w:eastAsia="宋体"/>
          <w:sz w:val="22"/>
          <w:szCs w:val="22"/>
        </w:rPr>
        <w:t xml:space="preserve">5. 配件承担规则：维保过程中，单台 / 套设备配件单价 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1000</w:t>
      </w:r>
      <w:r>
        <w:rPr>
          <w:rFonts w:ascii="宋体" w:hAnsi="宋体" w:eastAsia="宋体"/>
          <w:sz w:val="22"/>
          <w:szCs w:val="22"/>
        </w:rPr>
        <w:t xml:space="preserve"> 元以下（含 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1000</w:t>
      </w:r>
      <w:r>
        <w:rPr>
          <w:rFonts w:ascii="宋体" w:hAnsi="宋体" w:eastAsia="宋体"/>
          <w:sz w:val="22"/>
          <w:szCs w:val="22"/>
        </w:rPr>
        <w:t xml:space="preserve">元）的，全部由乙方承担并负责更换；单价超过 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1000</w:t>
      </w:r>
      <w:r>
        <w:rPr>
          <w:rFonts w:ascii="宋体" w:hAnsi="宋体" w:eastAsia="宋体"/>
          <w:sz w:val="22"/>
          <w:szCs w:val="22"/>
        </w:rPr>
        <w:t xml:space="preserve"> 元的配件，由甲方承担费用，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由乙方及时以书面形式上报甲方保卫科，经甲方保卫科确认无误后，按照甲方内控制度及采购流程采购配件，乙方提供必要的技术支持和建议，确保维修工作顺利进行。</w:t>
      </w:r>
    </w:p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二、维保服务范围：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乙方需对</w:t>
      </w:r>
      <w:r>
        <w:rPr>
          <w:rFonts w:ascii="宋体" w:hAnsi="宋体" w:eastAsia="宋体"/>
          <w:sz w:val="22"/>
          <w:szCs w:val="22"/>
        </w:rPr>
        <w:t xml:space="preserve"> 62 个车位的立体停车设备全系统提供全方位维保服务，具体涵盖以下板块：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 机械结构系统维保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钢结构框架、立柱、横梁的定期检查、紧固、校正，排查变形、锈蚀、松动隐患，做好防腐养护；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载车板、链条、钢丝绳、滑轮、齿轮、轴承等传动部件的清洁、润滑、调整、更换，确保运行顺畅无卡顿、异响；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横移、升降机构的运行精度调试，保障车位对位准确，载车板升降、横移平稳。</w:t>
      </w:r>
    </w:p>
    <w:p>
      <w:pPr>
        <w:numPr>
          <w:ilvl w:val="0"/>
          <w:numId w:val="1"/>
        </w:num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 xml:space="preserve">电气控制系统维保 </w:t>
      </w:r>
    </w:p>
    <w:p>
      <w:pPr>
        <w:numPr>
          <w:ilvl w:val="0"/>
          <w:numId w:val="0"/>
        </w:num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控制柜、变频器、接触器、继电器、线路、接线端子等电气元件的检测、清洁、紧固，排查线路老化、短路、接触不良问题；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操作面板、按钮、指示灯、显示屏的功能检测与维修，确保操作指令响应正常；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控制程序调试、系统故障排查与修复，保障设备自动化运行稳定，杜绝程序错乱、停机故障。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3.安全防护装置维保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紧急停止开关、限位开关、防坠落装置、阻车器、光电感应装置、人车误入检测装置等安全部件的功能测试、校准、更换，确保所有安全装置灵敏有效，符合特种设备安全运行标准；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应急手动操作装置检查与调试，保障突发断电、故障时可手动安全操作设备。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4.附属配套设施维保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设备照明、通风、消防联动接口、标识标牌的检查与维护；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设备运行噪音、震动检测，及时整改超标问题，保障设备合规运行。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5.其他服务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配合甲方完成特种设备年度检测、备案相关工作，提供维保记录、检测报告等资料，确保年检顺利通过；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对甲方操作人员进行免费操作培训、安全交底，指导日常规范使用设备。</w:t>
      </w:r>
    </w:p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三、维保服务标准及频次：</w:t>
      </w:r>
    </w:p>
    <w:p>
      <w:pPr>
        <w:spacing w:line="360" w:lineRule="auto"/>
        <w:ind w:firstLine="220" w:firstLineChars="1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（一）日常巡检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每月开展</w:t>
      </w:r>
      <w:r>
        <w:rPr>
          <w:rFonts w:ascii="宋体" w:hAnsi="宋体" w:eastAsia="宋体"/>
          <w:sz w:val="22"/>
          <w:szCs w:val="22"/>
        </w:rPr>
        <w:t>2次常规巡检，逐车位检查设备运行状态、安全装置、电气线路、传动部件，填写巡检记录，发现轻微隐患当场整改，重大隐患立即上报甲方并制定整改方案。</w:t>
      </w:r>
    </w:p>
    <w:p>
      <w:pPr>
        <w:spacing w:line="360" w:lineRule="auto"/>
        <w:ind w:firstLine="220" w:firstLineChars="1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（二）定期保养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1.季度保养：每季度开展1次全面深度保养，对设备全系统进行拆解清洁、全面润滑、部件校准、电气系统全面检测，形成季度维保报告提交甲方；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2.半年度保养：每半年开展1次系统性检修，重点排查核心传动部件、安全装置、电气主控系统，更换磨损耗材，解决潜在故障；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3.年度保养：合同到期前1个月，开展年度全面检修，对设备整体性能进行评估，出具年度维保总结报告及设备运行状况评估报告。</w:t>
      </w:r>
    </w:p>
    <w:p>
      <w:pPr>
        <w:spacing w:line="360" w:lineRule="auto"/>
        <w:ind w:firstLine="220" w:firstLineChars="1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（三）应急维修服务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1.乙方提供7×24小时应急维修服务，接到甲方故障报修通知后，市区范围内1小时内到达现场，偏远区域不超过2小时；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2.一般故障当场修复，重大故障24小时内解决，特殊情况需延长维修时间的，需提前书面告知甲方并说明原因及整改时限；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3.设备故障期间，乙方需采取临时保障措施，尽量减少对停车场正常使用的影响。</w:t>
      </w:r>
    </w:p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四、服务质量要求：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1.乙方维保作业需严格遵守《机械式停车设备通用安全要求》《特种设备使用管理规则》等国家及行业标准，确保设备运行安全、稳定，维保后设备完好率达到9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9</w:t>
      </w:r>
      <w:r>
        <w:rPr>
          <w:rFonts w:ascii="宋体" w:hAnsi="宋体" w:eastAsia="宋体"/>
          <w:sz w:val="22"/>
          <w:szCs w:val="22"/>
        </w:rPr>
        <w:t>%以上；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2.维保过程中做好现场防护，保持场地整洁，做好安全警示，避免造成人员伤害、设备损坏及财产损失，若因乙方操作不当导致损失，由乙方全额承担；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3.每次维保、维修后，需填写完整的维保记录，详细注明维保内容、更换配件、故障原因、整改结果，经甲方现场负责人签字确认后存档，每月汇总提交甲方；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4.乙方更换的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1000</w:t>
      </w:r>
      <w:r>
        <w:rPr>
          <w:rFonts w:ascii="宋体" w:hAnsi="宋体" w:eastAsia="宋体"/>
          <w:sz w:val="22"/>
          <w:szCs w:val="22"/>
        </w:rPr>
        <w:t>元以下配件需为合格正品，符合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国家/行业标准、</w:t>
      </w:r>
      <w:r>
        <w:rPr>
          <w:rFonts w:ascii="宋体" w:hAnsi="宋体" w:eastAsia="宋体"/>
          <w:sz w:val="22"/>
          <w:szCs w:val="22"/>
        </w:rPr>
        <w:t>设备原厂规格要求，严禁使用劣质、非标配件，更换后的配件质保期不少于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一年</w:t>
      </w:r>
      <w:r>
        <w:rPr>
          <w:rFonts w:ascii="宋体" w:hAnsi="宋体" w:eastAsia="宋体"/>
          <w:sz w:val="22"/>
          <w:szCs w:val="22"/>
        </w:rPr>
        <w:t>。</w:t>
      </w:r>
    </w:p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五、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其他</w:t>
      </w:r>
      <w:r>
        <w:rPr>
          <w:rFonts w:hint="eastAsia" w:ascii="宋体" w:hAnsi="宋体" w:eastAsia="宋体"/>
          <w:b/>
          <w:bCs/>
          <w:sz w:val="24"/>
          <w:szCs w:val="24"/>
        </w:rPr>
        <w:t>要求：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</w:t>
      </w:r>
      <w:bookmarkStart w:id="1" w:name="_GoBack"/>
      <w:r>
        <w:rPr>
          <w:rFonts w:ascii="宋体" w:hAnsi="宋体" w:eastAsia="宋体"/>
          <w:sz w:val="22"/>
          <w:szCs w:val="22"/>
        </w:rPr>
        <w:t>具有独立法人资格，持有有效的营业执照，经营范围包含机械式停车设备维修、保养相关内容；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2.具备特种设备生产（修理）许可证（机械式停车设备类），具备相应的维保技术能力和作业资质；</w:t>
      </w:r>
    </w:p>
    <w:p>
      <w:pPr>
        <w:spacing w:line="360" w:lineRule="auto"/>
        <w:ind w:firstLine="440" w:firstLineChars="200"/>
        <w:rPr>
          <w:rFonts w:hint="eastAsia" w:ascii="宋体" w:hAnsi="宋体" w:eastAsia="宋体"/>
          <w:sz w:val="22"/>
          <w:szCs w:val="22"/>
          <w:lang w:eastAsia="zh-CN"/>
        </w:rPr>
      </w:pPr>
      <w:r>
        <w:rPr>
          <w:rFonts w:ascii="宋体" w:hAnsi="宋体" w:eastAsia="宋体"/>
          <w:sz w:val="22"/>
          <w:szCs w:val="22"/>
        </w:rPr>
        <w:t>3.拥有固定的维保团队，配备持证上岗的专业技术人员</w:t>
      </w:r>
      <w:r>
        <w:rPr>
          <w:rFonts w:hint="eastAsia" w:ascii="宋体" w:hAnsi="宋体" w:eastAsia="宋体"/>
          <w:sz w:val="22"/>
          <w:szCs w:val="22"/>
          <w:lang w:eastAsia="zh-CN"/>
        </w:rPr>
        <w:t>。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4.具备完善的应急维修机制和配件储备能力，能够快速响应故障报修，保障服务及时性。</w:t>
      </w:r>
    </w:p>
    <w:bookmarkEnd w:id="1"/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六、支付方式：</w:t>
      </w:r>
    </w:p>
    <w:p>
      <w:pPr>
        <w:widowControl/>
        <w:spacing w:line="360" w:lineRule="auto"/>
        <w:ind w:firstLine="440" w:firstLineChars="200"/>
        <w:jc w:val="left"/>
        <w:textAlignment w:val="center"/>
        <w:rPr>
          <w:rFonts w:ascii="宋体" w:hAnsi="宋体" w:eastAsia="宋体"/>
          <w:sz w:val="22"/>
          <w:szCs w:val="22"/>
        </w:rPr>
      </w:pPr>
      <w:bookmarkStart w:id="0" w:name="OLE_LINK2"/>
      <w:r>
        <w:rPr>
          <w:rFonts w:hint="eastAsia" w:ascii="宋体" w:hAnsi="宋体" w:eastAsia="宋体"/>
          <w:sz w:val="22"/>
          <w:szCs w:val="22"/>
        </w:rPr>
        <w:t>1、收到成交通知书后15个工作日内，乙方按成交价总金额的10%向甲方缴纳履约保证金，本款项自项目服务期结束后甲方收到乙方书面申请后3</w:t>
      </w:r>
      <w:r>
        <w:rPr>
          <w:rFonts w:ascii="宋体" w:hAnsi="宋体" w:eastAsia="宋体"/>
          <w:sz w:val="22"/>
          <w:szCs w:val="22"/>
        </w:rPr>
        <w:t>0</w:t>
      </w:r>
      <w:r>
        <w:rPr>
          <w:rFonts w:hint="eastAsia" w:ascii="宋体" w:hAnsi="宋体" w:eastAsia="宋体"/>
          <w:sz w:val="22"/>
          <w:szCs w:val="22"/>
        </w:rPr>
        <w:t>个工作日内无息返还履约保证金。</w:t>
      </w:r>
    </w:p>
    <w:p>
      <w:pPr>
        <w:pStyle w:val="9"/>
        <w:spacing w:line="360" w:lineRule="auto"/>
        <w:ind w:firstLine="440" w:firstLineChars="200"/>
        <w:rPr>
          <w:rFonts w:ascii="宋体" w:hAnsi="宋体" w:cstheme="minorBidi"/>
          <w:sz w:val="22"/>
          <w:szCs w:val="22"/>
        </w:rPr>
      </w:pPr>
      <w:r>
        <w:rPr>
          <w:rFonts w:hint="eastAsia" w:ascii="宋体" w:hAnsi="宋体" w:cstheme="minorBidi"/>
          <w:sz w:val="22"/>
          <w:szCs w:val="22"/>
        </w:rPr>
        <w:t>2、乙方完成服务后，需向甲方出具真实、合法的保养记录；</w:t>
      </w:r>
      <w:r>
        <w:rPr>
          <w:rFonts w:ascii="宋体" w:hAnsi="宋体"/>
          <w:sz w:val="22"/>
          <w:szCs w:val="22"/>
        </w:rPr>
        <w:t>半年度保养</w:t>
      </w:r>
      <w:r>
        <w:rPr>
          <w:rFonts w:hint="eastAsia" w:ascii="宋体" w:hAnsi="宋体" w:cstheme="minorBidi"/>
          <w:sz w:val="22"/>
          <w:szCs w:val="22"/>
        </w:rPr>
        <w:t>记录出具满</w:t>
      </w:r>
      <w:r>
        <w:rPr>
          <w:rFonts w:ascii="宋体" w:hAnsi="宋体" w:cstheme="minorBidi"/>
          <w:sz w:val="22"/>
          <w:szCs w:val="22"/>
        </w:rPr>
        <w:t>60</w:t>
      </w:r>
      <w:r>
        <w:rPr>
          <w:rFonts w:hint="eastAsia" w:ascii="宋体" w:hAnsi="宋体" w:cstheme="minorBidi"/>
          <w:sz w:val="22"/>
          <w:szCs w:val="22"/>
        </w:rPr>
        <w:t>天后，甲方向乙方支付合同价格的</w:t>
      </w:r>
      <w:r>
        <w:rPr>
          <w:rFonts w:ascii="宋体" w:hAnsi="宋体" w:cstheme="minorBidi"/>
          <w:sz w:val="22"/>
          <w:szCs w:val="22"/>
        </w:rPr>
        <w:t>50</w:t>
      </w:r>
      <w:r>
        <w:rPr>
          <w:rFonts w:hint="eastAsia" w:ascii="宋体" w:hAnsi="宋体" w:cstheme="minorBidi"/>
          <w:sz w:val="22"/>
          <w:szCs w:val="22"/>
        </w:rPr>
        <w:t>%。</w:t>
      </w:r>
    </w:p>
    <w:p>
      <w:pPr>
        <w:spacing w:line="360" w:lineRule="auto"/>
        <w:ind w:firstLine="440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sz w:val="22"/>
          <w:szCs w:val="22"/>
        </w:rPr>
        <w:t>3、</w:t>
      </w:r>
      <w:r>
        <w:rPr>
          <w:rFonts w:ascii="宋体" w:hAnsi="宋体" w:eastAsia="宋体"/>
          <w:sz w:val="22"/>
          <w:szCs w:val="22"/>
        </w:rPr>
        <w:t>付款前，乙方需按甲方要求提供符合甲方要求的增值税</w:t>
      </w:r>
      <w:r>
        <w:rPr>
          <w:rFonts w:hint="eastAsia" w:ascii="宋体" w:hAnsi="宋体" w:eastAsia="宋体"/>
          <w:sz w:val="22"/>
          <w:szCs w:val="22"/>
        </w:rPr>
        <w:t>普通</w:t>
      </w:r>
      <w:r>
        <w:rPr>
          <w:rFonts w:ascii="宋体" w:hAnsi="宋体" w:eastAsia="宋体"/>
          <w:sz w:val="22"/>
          <w:szCs w:val="22"/>
        </w:rPr>
        <w:t>发票。甲方确认发票内容及金额无误后,向乙方支付款项。乙方未提供发票，或者提供发票的内容或金额有误的，甲方有权拒绝支付相应款项。</w:t>
      </w:r>
      <w:r>
        <w:rPr>
          <w:rFonts w:hint="eastAsia" w:ascii="宋体" w:hAnsi="宋体" w:eastAsia="宋体"/>
          <w:sz w:val="22"/>
          <w:szCs w:val="22"/>
        </w:rPr>
        <w:t>因乙方延迟提供发票导致甲方无法按时入账或支付的，不视为甲方逾期付款，且乙方应承担因此给甲方造成的税务或财务损失。</w:t>
      </w:r>
      <w:bookmarkEnd w:id="0"/>
    </w:p>
    <w:p>
      <w:pPr>
        <w:spacing w:before="156" w:beforeLines="50" w:after="156" w:afterLines="50"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七、双方责任与义务</w:t>
      </w:r>
    </w:p>
    <w:p>
      <w:pPr>
        <w:spacing w:line="360" w:lineRule="auto"/>
        <w:ind w:firstLine="220" w:firstLineChars="1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（一）甲方责任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1.为乙方维保作业提供必要的场地、水电支持，配合乙方开展设备检查、维修工作；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2.及时告知乙方设备运行异常情况，协助乙方核实故障问题；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3.按合同约定按时支付维保费用；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4.对乙方维保服务质量、配件质量进行监督验收。</w:t>
      </w:r>
    </w:p>
    <w:p>
      <w:pPr>
        <w:spacing w:line="360" w:lineRule="auto"/>
        <w:ind w:firstLine="220" w:firstLineChars="100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（二）乙方责任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1.严格按照合同约定提供维保服务，保质保量完成各项维保工作；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2.承担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1000</w:t>
      </w:r>
      <w:r>
        <w:rPr>
          <w:rFonts w:ascii="宋体" w:hAnsi="宋体" w:eastAsia="宋体"/>
          <w:sz w:val="22"/>
          <w:szCs w:val="22"/>
        </w:rPr>
        <w:t>元</w:t>
      </w:r>
      <w:r>
        <w:rPr>
          <w:rFonts w:hint="eastAsia" w:ascii="宋体" w:hAnsi="宋体" w:eastAsia="宋体"/>
          <w:sz w:val="22"/>
          <w:szCs w:val="22"/>
          <w:lang w:eastAsia="zh-CN"/>
        </w:rPr>
        <w:t>及</w:t>
      </w:r>
      <w:r>
        <w:rPr>
          <w:rFonts w:ascii="宋体" w:hAnsi="宋体" w:eastAsia="宋体"/>
          <w:sz w:val="22"/>
          <w:szCs w:val="22"/>
        </w:rPr>
        <w:t>以下配件费用及维保人工、耗材费用，规范作业，确保设备安全运行；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3.建立维保档案，妥善保管所有维保记录、报告，配合甲方及特种设备监管部门检查；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4.维保人员持证上岗，遵守甲方现场管理规定，做好安全防护，文明作业；</w:t>
      </w: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  <w:r>
        <w:rPr>
          <w:rFonts w:ascii="宋体" w:hAnsi="宋体" w:eastAsia="宋体"/>
          <w:sz w:val="22"/>
          <w:szCs w:val="22"/>
        </w:rPr>
        <w:t>5.合同期内，若因乙方维保不到位导致设备故障、安全事故，由乙方承担全部责任及经济损失。</w:t>
      </w:r>
    </w:p>
    <w:p>
      <w:pPr>
        <w:spacing w:line="360" w:lineRule="auto"/>
        <w:ind w:firstLine="440" w:firstLineChars="200"/>
        <w:jc w:val="center"/>
        <w:rPr>
          <w:rFonts w:ascii="宋体" w:hAnsi="宋体" w:eastAsia="宋体"/>
          <w:sz w:val="22"/>
          <w:szCs w:val="22"/>
        </w:rPr>
      </w:pP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</w:p>
    <w:p>
      <w:pPr>
        <w:spacing w:line="360" w:lineRule="auto"/>
        <w:ind w:firstLine="440" w:firstLineChars="200"/>
        <w:rPr>
          <w:rFonts w:ascii="宋体" w:hAnsi="宋体" w:eastAsia="宋体"/>
          <w:sz w:val="22"/>
          <w:szCs w:val="22"/>
        </w:rPr>
      </w:pPr>
    </w:p>
    <w:p>
      <w:pPr>
        <w:spacing w:line="360" w:lineRule="auto"/>
        <w:rPr>
          <w:rFonts w:ascii="宋体" w:hAnsi="宋体" w:eastAsia="宋体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="1169" w:tblpY="361"/>
        <w:tblOverlap w:val="never"/>
        <w:tblW w:w="9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8"/>
        <w:gridCol w:w="2361"/>
        <w:gridCol w:w="2594"/>
        <w:gridCol w:w="1428"/>
        <w:gridCol w:w="20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2" w:hRule="atLeast"/>
        </w:trPr>
        <w:tc>
          <w:tcPr>
            <w:tcW w:w="9520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32"/>
                <w:szCs w:val="32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32"/>
                <w:szCs w:val="32"/>
                <w:lang w:val="en-US" w:eastAsia="zh-CN" w:bidi="ar-SA"/>
              </w:rPr>
              <w:t>1000</w:t>
            </w:r>
            <w:r>
              <w:rPr>
                <w:rFonts w:hint="eastAsia" w:ascii="宋体" w:cs="宋体"/>
                <w:b/>
                <w:color w:val="000000"/>
                <w:kern w:val="0"/>
                <w:sz w:val="32"/>
                <w:szCs w:val="32"/>
                <w:lang w:bidi="ar-SA"/>
              </w:rPr>
              <w:t>元以下维保材料价格表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序号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名称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型号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单位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价格（元）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通讯模块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206.00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交流接触器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LC1-E2510 220V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中间继电器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DRM-270024L 24V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中间继电器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DRM-570730L 220V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中间继电器底座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热继电器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LRE14-361N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204.00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热继电器底座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LAEB1-3N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124.00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断路器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NDM1-63  D40/3F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129.00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相序保护器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112.00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摇臂开关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SD-8108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75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光电开关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NX5-M30A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231.00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光电开关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24v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开关电源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MDR-60-24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开关电源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MES-100-24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101.00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急停按钮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LAYT-1.1ZS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矩形按钮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LA39-E11TJ/G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旋钮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LA39-B2-20XS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钥匙旋钮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49.00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熔断器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10-32A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熔断器底座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报警灯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LTE-1101J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56.00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报警灯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新式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131.00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有缘主动轮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Ф120X48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42.00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有缘从动轮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Ф120X48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42.00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双轮缘主动滚轮轴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cs="宋体" w:eastAsiaTheme="minorEastAsia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35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mm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*22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mm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*147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mm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无缘轮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Ф60X40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单向节流阀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MK10G12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双向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 w:bidi="ar-SA"/>
              </w:rPr>
              <w:t>节流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阀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WDJF/新式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308.00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温控仪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196.00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液位计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YWZ-100T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防震压力表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KF-L8/14E 40MPA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回油滤清器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XG25*100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322.00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高压软管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M22  L=400-2400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根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154.00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高压软管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M27 L=280-1400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根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124.00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对丝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三通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弯头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Ф270*68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227.00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Ф240*68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192.00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Ф210*68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</w:t>
            </w: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85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Ф210*37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sz w:val="20"/>
                <w:szCs w:val="18"/>
                <w:lang w:val="en-US" w:bidi="ar-SA"/>
              </w:rPr>
              <w:t>125.00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Ф180*37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sz w:val="20"/>
                <w:szCs w:val="18"/>
                <w:lang w:val="en-US" w:bidi="ar-SA"/>
              </w:rPr>
              <w:t>125.00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Ф180*24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sz w:val="20"/>
                <w:szCs w:val="18"/>
                <w:lang w:val="en-US" w:bidi="ar-SA"/>
              </w:rPr>
              <w:t>95.00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尼龙轮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Ф160*24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kern w:val="0"/>
                <w:sz w:val="20"/>
                <w:szCs w:val="18"/>
                <w:lang w:val="en-US" w:bidi="ar-SA"/>
              </w:rPr>
              <w:t>95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val="en-US" w:eastAsia="zh-CN" w:bidi="ar-SA"/>
              </w:rPr>
              <w:t>.</w:t>
            </w:r>
            <w:r>
              <w:rPr>
                <w:rFonts w:hint="default" w:ascii="宋体" w:cs="宋体"/>
                <w:color w:val="000000"/>
                <w:kern w:val="0"/>
                <w:sz w:val="20"/>
                <w:szCs w:val="18"/>
                <w:lang w:val="en-US" w:bidi="ar-SA"/>
              </w:rPr>
              <w:t>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缓冲胶垫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cs="宋体" w:eastAsiaTheme="minorEastAsia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80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mm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*50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mm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油漆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银灰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kg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27.00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油漆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桔红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kg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油漆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孔雀蓝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kg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27.00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钢丝绳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Ф8.5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eastAsia="zh-CN" w:bidi="ar-SA"/>
              </w:rPr>
              <w:t>米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sz w:val="18"/>
                <w:szCs w:val="18"/>
                <w:lang w:val="en-US" w:bidi="ar-SA"/>
              </w:rPr>
              <w:t>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钢丝绳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Ф9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eastAsia="zh-CN" w:bidi="ar-SA"/>
              </w:rPr>
              <w:t>米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7.8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钢丝绳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Ф10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eastAsia="zh-CN" w:bidi="ar-SA"/>
              </w:rPr>
              <w:t>米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钢丝绳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Ф14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eastAsia="zh-CN" w:bidi="ar-SA"/>
              </w:rPr>
              <w:t>米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</w:t>
            </w: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5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钢丝绳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Ф16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eastAsia="zh-CN" w:bidi="ar-SA"/>
              </w:rPr>
              <w:t>米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19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auto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bidi="ar-SA"/>
              </w:rPr>
              <w:t>方钢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cs="宋体" w:eastAsiaTheme="minorEastAsia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bidi="ar-SA"/>
              </w:rPr>
              <w:t>30</w:t>
            </w: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cm</w:t>
            </w: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bidi="ar-SA"/>
              </w:rPr>
              <w:t>*30</w:t>
            </w: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cm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米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auto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bidi="ar-SA"/>
              </w:rPr>
              <w:t>轴承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auto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18"/>
                <w:szCs w:val="18"/>
                <w:lang w:bidi="ar-SA"/>
              </w:rPr>
              <w:t>6004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轴承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6007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轴承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6206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轴承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6306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轴承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NJ306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32.00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8B单排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16A单排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16A双排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20A单排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64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20A双排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4.80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65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24A单排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4.50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66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链条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24A双排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节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67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黄油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包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68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自落式防坠器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FQB2-50mm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69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自落式防坠器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FQB3-50mm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175.00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70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轴伸式防坠器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FQB1-30/30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196.00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71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电磁铁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MQB-40/20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168.00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72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聚四氟乙烯垫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Φ16-Φ24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3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73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组合垫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Φ18-Φ22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个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宋体" w:cs="宋体"/>
                <w:color w:val="000000"/>
                <w:kern w:val="0"/>
                <w:sz w:val="18"/>
                <w:szCs w:val="18"/>
                <w:lang w:val="en-US" w:bidi="ar-SA"/>
              </w:rPr>
              <w:t>3.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</w:trPr>
        <w:tc>
          <w:tcPr>
            <w:tcW w:w="9520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</w:p>
        </w:tc>
      </w:tr>
    </w:tbl>
    <w:p>
      <w:pPr>
        <w:spacing w:line="360" w:lineRule="auto"/>
        <w:rPr>
          <w:rFonts w:ascii="宋体" w:hAnsi="宋体" w:eastAsia="宋体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="1169" w:tblpY="1"/>
        <w:tblOverlap w:val="never"/>
        <w:tblW w:w="9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6"/>
        <w:gridCol w:w="2466"/>
        <w:gridCol w:w="2708"/>
        <w:gridCol w:w="1491"/>
        <w:gridCol w:w="21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32"/>
                <w:szCs w:val="32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hint="eastAsia" w:ascii="宋体" w:cs="宋体"/>
                <w:b/>
                <w:color w:val="000000"/>
                <w:kern w:val="0"/>
                <w:sz w:val="32"/>
                <w:szCs w:val="32"/>
                <w:lang w:bidi="ar-SA"/>
              </w:rPr>
              <w:t>00元以上维保材料价格表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8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序号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名称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型号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单位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b/>
                <w:color w:val="000000"/>
                <w:sz w:val="20"/>
                <w:szCs w:val="18"/>
                <w:lang w:bidi="ar-SA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0"/>
                <w:szCs w:val="18"/>
                <w:lang w:bidi="ar-SA"/>
              </w:rPr>
              <w:t>价格（元）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PLC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主机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2100.00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PLC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扩展机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1500.00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FEX-1：60 A 制动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1080.00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FEX-1：60 B 制动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1080.00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FEX-1：60 C 制动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1080.00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6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泵站电机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4kw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11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80.00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泵站电机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5.5kw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1382.00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8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泵站电机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7.5kw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1568.00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9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泵站电机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11kw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2324.00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10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泵站电机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15kw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2744.00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11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泵站电机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22kw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3920.00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12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提升电机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2.2KW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3500.00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13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槽型光电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18"/>
                <w:szCs w:val="18"/>
                <w:lang w:val="en-US" w:eastAsia="zh-CN" w:bidi="ar-SA"/>
              </w:rPr>
              <w:t>国标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11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58.00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14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操作器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带急停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1162.00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15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操作器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老式无急停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1162.00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16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操作器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带加热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1162.00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17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操作器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ABCDY1.0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1162.00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柱塞泵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10-25MCY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件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1150.00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液压油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低温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桶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液压油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常温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桶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 xml:space="preserve">2492.00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eastAsia="宋体" w:cs="宋体"/>
                <w:color w:val="000000"/>
                <w:sz w:val="18"/>
                <w:szCs w:val="18"/>
                <w:lang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2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油缸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Φ80/Φ70-920-1300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支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sz w:val="18"/>
                <w:szCs w:val="18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bidi="ar-SA"/>
              </w:rPr>
              <w:t>1500.00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6" w:hRule="atLeast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600" w:firstLineChars="300"/>
              <w:jc w:val="left"/>
              <w:textAlignment w:val="center"/>
              <w:rPr>
                <w:rFonts w:hint="default" w:ascii="宋体" w:cs="宋体" w:eastAsiaTheme="minorEastAsia"/>
                <w:b/>
                <w:color w:val="000000"/>
                <w:sz w:val="20"/>
                <w:szCs w:val="18"/>
                <w:lang w:val="en-US" w:eastAsia="zh-CN" w:bidi="ar-SA"/>
              </w:rPr>
            </w:pPr>
          </w:p>
        </w:tc>
      </w:tr>
    </w:tbl>
    <w:p>
      <w:pPr>
        <w:spacing w:line="360" w:lineRule="auto"/>
        <w:rPr>
          <w:rFonts w:ascii="宋体" w:hAnsi="宋体" w:eastAsia="宋体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CFBFD"/>
    <w:multiLevelType w:val="singleLevel"/>
    <w:tmpl w:val="063CFBF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7F"/>
    <w:rsid w:val="000076D0"/>
    <w:rsid w:val="00016EAA"/>
    <w:rsid w:val="000346A6"/>
    <w:rsid w:val="000A0F6E"/>
    <w:rsid w:val="000A0F98"/>
    <w:rsid w:val="00102589"/>
    <w:rsid w:val="00134FA8"/>
    <w:rsid w:val="00174A0A"/>
    <w:rsid w:val="001F5B8F"/>
    <w:rsid w:val="00234310"/>
    <w:rsid w:val="00263A6B"/>
    <w:rsid w:val="00277BAF"/>
    <w:rsid w:val="002A0FC0"/>
    <w:rsid w:val="003915FE"/>
    <w:rsid w:val="003A7B48"/>
    <w:rsid w:val="003B5029"/>
    <w:rsid w:val="003D0292"/>
    <w:rsid w:val="00420174"/>
    <w:rsid w:val="00432F8D"/>
    <w:rsid w:val="00454586"/>
    <w:rsid w:val="005B3F76"/>
    <w:rsid w:val="0066164D"/>
    <w:rsid w:val="006A793C"/>
    <w:rsid w:val="007218C9"/>
    <w:rsid w:val="007F45F0"/>
    <w:rsid w:val="008222A3"/>
    <w:rsid w:val="0089198E"/>
    <w:rsid w:val="008B3FC4"/>
    <w:rsid w:val="008F417F"/>
    <w:rsid w:val="00967618"/>
    <w:rsid w:val="00A402AC"/>
    <w:rsid w:val="00AD71A4"/>
    <w:rsid w:val="00AE70BE"/>
    <w:rsid w:val="00B318E1"/>
    <w:rsid w:val="00BC04B0"/>
    <w:rsid w:val="00BE429C"/>
    <w:rsid w:val="00C51357"/>
    <w:rsid w:val="00C9043E"/>
    <w:rsid w:val="00C96445"/>
    <w:rsid w:val="00D73AC0"/>
    <w:rsid w:val="00D83464"/>
    <w:rsid w:val="0240234F"/>
    <w:rsid w:val="07566CB9"/>
    <w:rsid w:val="0A2D3298"/>
    <w:rsid w:val="0BCA39B9"/>
    <w:rsid w:val="23613B31"/>
    <w:rsid w:val="27EE6A20"/>
    <w:rsid w:val="2BFB6D13"/>
    <w:rsid w:val="32EE1ECD"/>
    <w:rsid w:val="36E610D1"/>
    <w:rsid w:val="4DCE329D"/>
    <w:rsid w:val="4FC70F0F"/>
    <w:rsid w:val="5A886F11"/>
    <w:rsid w:val="5FA75F08"/>
    <w:rsid w:val="66A30E28"/>
    <w:rsid w:val="68007333"/>
    <w:rsid w:val="71062601"/>
    <w:rsid w:val="7A716FB7"/>
    <w:rsid w:val="7B5B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正文_0_1_0"/>
    <w:basedOn w:val="1"/>
    <w:qFormat/>
    <w:uiPriority w:val="0"/>
    <w:rPr>
      <w:rFonts w:ascii="Calibri" w:hAnsi="Calibri" w:eastAsia="宋体" w:cs="Times New Roman"/>
      <w:szCs w:val="24"/>
    </w:rPr>
  </w:style>
  <w:style w:type="character" w:customStyle="1" w:styleId="10">
    <w:name w:val="正文文本 字符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3243</Words>
  <Characters>4248</Characters>
  <Lines>361</Lines>
  <Paragraphs>452</Paragraphs>
  <TotalTime>68</TotalTime>
  <ScaleCrop>false</ScaleCrop>
  <LinksUpToDate>false</LinksUpToDate>
  <CharactersWithSpaces>4388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2026-05-11T00:52:00Z</dcterms:created>
  <dc:creator>Administrator</dc:creator>
  <cp:lastModifiedBy>Administrator</cp:lastModifiedBy>
  <cp:lastPrinted>2026-09-28T19:13:00Z</cp:lastPrinted>
  <dcterms:modified xsi:type="dcterms:W3CDTF">2026-10-19T03:02:59Z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eyJoZGlkIjoiN2YzNWY0NzMxNzliOGUzZTQ1YmYyNzg1MDUzNzFlMGMiLCJ1c2VySWQiOiIzODI0MTA0ODMifQ==</vt:lpwstr>
  </property>
  <property fmtid="{D5CDD505-2E9C-101B-9397-08002B2CF9AE}" pid="3" name="KSOProductBuildVer">
    <vt:lpwstr>2052-11.8.2.10229</vt:lpwstr>
  </property>
  <property fmtid="{D5CDD505-2E9C-101B-9397-08002B2CF9AE}" pid="4" name="ICV">
    <vt:lpwstr>21710E7B1B8B49B2B755EB29AAAA5878_12</vt:lpwstr>
  </property>
</Properties>
</file>